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Deters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SOLV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16680 WEST BERNARDO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SOLV Energy, Inc.</w:t>
              </w:r>
            </w:hyperlink>
            <w:r>
              <w:rPr/>
              <w:t xml:space="preserve"> [ </w:t>
            </w:r>
            <w:r>
              <w:rPr>
                <w:rFonts w:ascii="Times;serif" w:hAnsi="Times;serif"/>
                <w:color w:val="0000FF"/>
                <w:sz w:val="24"/>
                <w:shd w:fill="FFFFFF" w:val="clear"/>
              </w:rPr>
              <w:t>MWH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8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771"/>
        <w:gridCol w:w="906"/>
        <w:gridCol w:w="801"/>
        <w:gridCol w:w="891"/>
        <w:gridCol w:w="86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SOLV Energy Management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70,176</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70,176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1,124,701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Upon a redemption or direct exchange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terms of the MH LPA and Opco LLCA, represents the required, automatic and non-discretionary pro rata redemption of 70,176 MH Units held by the Reporting Person (and the corresponding (i) direct exchange of an equal number of Opco LLC Interests held by MH and (ii) the cancellation of an equal number of shares of Class B common stock of the Issuer held by MH) in connection with the sale of Class A common stock by MH.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price per MH Unit equal to the sale price of $27.77 per share of Class A common stock sold by MH.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S. Forman,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014" TargetMode="External"/><Relationship Id="rId5" Type="http://schemas.openxmlformats.org/officeDocument/2006/relationships/hyperlink" Target="http://www.sec.gov/cgi-bin/browse-edgar?action=getcompany&amp;CIK=0002065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4729</Characters>
  <CharactersWithSpaces>5572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