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1834d10k.htm"/>
        <w:bookmarkStart w:id="1" w:name="ksd31834d10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10-K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For the fiscal year ended December 31, 2025 </w:t>
      </w:r>
    </w:p>
    <w:p>
      <w:pPr>
        <w:pStyle w:val="TextBody"/>
        <w:bidi w:val="0"/>
        <w:spacing w:before="120" w:after="0"/>
        <w:jc w:val="center"/>
        <w:rPr>
          <w:rFonts w:ascii="Times New Roman" w:hAnsi="Times New Roman"/>
          <w:b/>
          <w:sz w:val="24"/>
        </w:rPr>
      </w:pPr>
      <w:r>
        <w:rPr>
          <w:rFonts w:ascii="Times New Roman" w:hAnsi="Times New Roman"/>
          <w:b/>
          <w:sz w:val="24"/>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For the transition period from      to     . </w:t>
      </w:r>
    </w:p>
    <w:p>
      <w:pPr>
        <w:pStyle w:val="TextBody"/>
        <w:bidi w:val="0"/>
        <w:spacing w:before="120" w:after="0"/>
        <w:jc w:val="center"/>
        <w:rPr>
          <w:rFonts w:ascii="Times New Roman" w:hAnsi="Times New Roman"/>
          <w:b/>
          <w:sz w:val="20"/>
        </w:rPr>
      </w:pPr>
      <w:r>
        <w:rPr>
          <w:rFonts w:ascii="Times New Roman" w:hAnsi="Times New Roman"/>
          <w:b/>
          <w:sz w:val="20"/>
        </w:rPr>
        <w:t xml:space="preserve">Commission file number 001-43117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33-4537250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16680 West Bernardo Drive, San Diego, CA 92127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120" w:after="0"/>
        <w:jc w:val="center"/>
        <w:rPr>
          <w:rFonts w:ascii="Times New Roman" w:hAnsi="Times New Roman"/>
          <w:b/>
          <w:sz w:val="20"/>
        </w:rPr>
      </w:pPr>
      <w:r>
        <w:rPr>
          <w:rFonts w:ascii="Times New Roman" w:hAnsi="Times New Roman"/>
          <w:b/>
          <w:sz w:val="20"/>
        </w:rPr>
        <w:t xml:space="preserve">(858) 251-4888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Trading Symbol(s)</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each exchange on which registered</w:t>
            </w:r>
          </w:p>
        </w:tc>
      </w:tr>
      <w:tr>
        <w:trPr/>
        <w:tc>
          <w:tcPr>
            <w:tcW w:w="3469" w:type="dxa"/>
            <w:tcBorders/>
          </w:tcPr>
          <w:p>
            <w:pPr>
              <w:pStyle w:val="TableContents"/>
              <w:bidi w:val="0"/>
              <w:spacing w:before="0" w:after="0"/>
              <w:jc w:val="center"/>
              <w:rPr>
                <w:rFonts w:ascii="Times New Roman" w:hAnsi="Times New Roman"/>
                <w:b/>
                <w:sz w:val="20"/>
              </w:rPr>
            </w:pPr>
            <w:r>
              <w:rPr>
                <w:rFonts w:ascii="Times New Roman" w:hAnsi="Times New Roman"/>
                <w:b/>
                <w:sz w:val="20"/>
              </w:rPr>
              <w:t>Class A Common Stock,</w:t>
            </w:r>
          </w:p>
          <w:p>
            <w:pPr>
              <w:pStyle w:val="TableContents"/>
              <w:bidi w:val="0"/>
              <w:spacing w:before="0" w:after="20"/>
              <w:jc w:val="center"/>
              <w:rPr>
                <w:rFonts w:ascii="Times New Roman" w:hAnsi="Times New Roman"/>
                <w:b/>
                <w:sz w:val="20"/>
              </w:rPr>
            </w:pPr>
            <w:r>
              <w:rPr>
                <w:rFonts w:ascii="Times New Roman" w:hAnsi="Times New Roman"/>
                <w:b/>
                <w:sz w:val="20"/>
              </w:rPr>
              <w:t>par value $0.0001 per share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MWH</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The Nasdaq Stock Market LLC</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Act). ☐ Yes ☑ No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was not a public company as of the last business day of its most recently completed second fiscal quarter and, therefore, cannot calculate the aggregate market value of its voting and non-voting common equity held by non-affiliates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the Registrant’s Class A Common Stock as of March 24, 2026: 115,348,571 shares </w:t>
      </w:r>
    </w:p>
    <w:p>
      <w:pPr>
        <w:pStyle w:val="TextBody"/>
        <w:bidi w:val="0"/>
        <w:spacing w:before="240" w:after="0"/>
        <w:jc w:val="left"/>
        <w:rPr>
          <w:rFonts w:ascii="Times New Roman" w:hAnsi="Times New Roman"/>
          <w:sz w:val="20"/>
        </w:rPr>
      </w:pPr>
      <w:r>
        <w:rPr>
          <w:rFonts w:ascii="Times New Roman" w:hAnsi="Times New Roman"/>
          <w:sz w:val="20"/>
        </w:rPr>
        <w:t xml:space="preserve">Number of shares of the Registrant’s Class B Common Stock as of March 24, 2026: 87,141,865 shares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2025 FORM 10-K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2225" w:type="dxa"/>
        <w:jc w:val="center"/>
        <w:tblInd w:w="0" w:type="dxa"/>
        <w:tblLayout w:type="fixed"/>
        <w:tblCellMar>
          <w:top w:w="0" w:type="dxa"/>
          <w:left w:w="0" w:type="dxa"/>
          <w:bottom w:w="0" w:type="dxa"/>
          <w:right w:w="0" w:type="dxa"/>
        </w:tblCellMar>
      </w:tblPr>
      <w:tblGrid>
        <w:gridCol w:w="755"/>
        <w:gridCol w:w="120"/>
        <w:gridCol w:w="10655"/>
        <w:gridCol w:w="120"/>
        <w:gridCol w:w="70"/>
        <w:gridCol w:w="445"/>
        <w:gridCol w:w="60"/>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6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755" w:type="dxa"/>
            <w:tcBorders/>
            <w:vAlign w:val="center"/>
          </w:tcPr>
          <w:p>
            <w:pPr>
              <w:pStyle w:val="TableContents"/>
              <w:bidi w:val="0"/>
              <w:spacing w:before="0" w:after="283"/>
              <w:jc w:val="left"/>
              <w:rPr>
                <w:sz w:val="4"/>
                <w:szCs w:val="4"/>
              </w:rPr>
            </w:pPr>
            <w:r>
              <w:rPr>
                <w:sz w:val="4"/>
                <w:szCs w:val="4"/>
              </w:rPr>
            </w:r>
          </w:p>
        </w:tc>
        <w:tc>
          <w:tcPr>
            <w:tcW w:w="1077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pPr>
            <w:hyperlink w:anchor="toc31834_26">
              <w:r>
                <w:rPr>
                  <w:rStyle w:val="InternetLink"/>
                  <w:rFonts w:ascii="Times New Roman" w:hAnsi="Times New Roman"/>
                  <w:sz w:val="20"/>
                  <w:u w:val="single"/>
                </w:rPr>
                <w:t>PART I</w:t>
              </w:r>
            </w:hyperlink>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
              <w:r>
                <w:rPr>
                  <w:rStyle w:val="InternetLink"/>
                </w:rPr>
                <w:t>Business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2">
              <w:r>
                <w:rPr>
                  <w:rStyle w:val="InternetLink"/>
                </w:rPr>
                <w:t>Risk Factors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1B.</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3">
              <w:r>
                <w:rPr>
                  <w:rStyle w:val="InternetLink"/>
                </w:rPr>
                <w:t>Unresolved Staff Comments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1C.</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4">
              <w:r>
                <w:rPr>
                  <w:rStyle w:val="InternetLink"/>
                </w:rPr>
                <w:t>Cybersecurity</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5">
              <w:r>
                <w:rPr>
                  <w:rStyle w:val="InternetLink"/>
                </w:rPr>
                <w:t>Properties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6">
              <w:r>
                <w:rPr>
                  <w:rStyle w:val="InternetLink"/>
                </w:rPr>
                <w:t>Legal Proceedings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7">
              <w:r>
                <w:rPr>
                  <w:rStyle w:val="InternetLink"/>
                </w:rPr>
                <w:t>Mine Safety Disclosures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755" w:type="dxa"/>
            <w:tcBorders/>
            <w:vAlign w:val="center"/>
          </w:tcPr>
          <w:p>
            <w:pPr>
              <w:pStyle w:val="TableContents"/>
              <w:bidi w:val="0"/>
              <w:spacing w:before="0" w:after="283"/>
              <w:jc w:val="left"/>
              <w:rPr>
                <w:sz w:val="4"/>
                <w:szCs w:val="4"/>
              </w:rPr>
            </w:pPr>
            <w:r>
              <w:rPr>
                <w:sz w:val="4"/>
                <w:szCs w:val="4"/>
              </w:rPr>
            </w:r>
          </w:p>
        </w:tc>
        <w:tc>
          <w:tcPr>
            <w:tcW w:w="1077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pPr>
            <w:hyperlink w:anchor="toc31834_27">
              <w:r>
                <w:rPr>
                  <w:rStyle w:val="InternetLink"/>
                  <w:rFonts w:ascii="Times New Roman" w:hAnsi="Times New Roman"/>
                  <w:sz w:val="20"/>
                  <w:u w:val="single"/>
                </w:rPr>
                <w:t>PART II</w:t>
              </w:r>
            </w:hyperlink>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8">
              <w:r>
                <w:rPr>
                  <w:rStyle w:val="InternetLink"/>
                </w:rPr>
                <w:t>Market for Registrant’s Common Equity, Related Shareholder Matters and Issuer Purchases Of Equity Securities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9">
              <w:r>
                <w:rPr>
                  <w:rStyle w:val="InternetLink"/>
                </w:rPr>
                <w:t>Reserved</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7.</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0">
              <w:r>
                <w:rPr>
                  <w:rStyle w:val="InternetLink"/>
                </w:rPr>
                <w:t>Management’s Discussion and Analysis of Financial Condition and Results of Operations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7A.</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1">
              <w:r>
                <w:rPr>
                  <w:rStyle w:val="InternetLink"/>
                </w:rPr>
                <w:t>Quantitative and Qualitative Disclosures about Market Risk</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8.</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2">
              <w:r>
                <w:rPr>
                  <w:rStyle w:val="InternetLink"/>
                </w:rPr>
                <w:t>Financial Statements and Supplementary Data</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9.</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3">
              <w:r>
                <w:rPr>
                  <w:rStyle w:val="InternetLink"/>
                </w:rPr>
                <w:t>Changes In and Disagreements with Accountants on Accounting and Financial Disclosure</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9A.</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4">
              <w:r>
                <w:rPr>
                  <w:rStyle w:val="InternetLink"/>
                </w:rPr>
                <w:t>Controls and Procedures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9B.</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5">
              <w:r>
                <w:rPr>
                  <w:rStyle w:val="InternetLink"/>
                </w:rPr>
                <w:t>Other Information</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9C.</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6">
              <w:r>
                <w:rPr>
                  <w:rStyle w:val="InternetLink"/>
                </w:rPr>
                <w:t>Disclosure Regarding Foreign Jurisdictions That Prevent Inspections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rHeight w:val="120" w:hRule="atLeast"/>
        </w:trPr>
        <w:tc>
          <w:tcPr>
            <w:tcW w:w="755" w:type="dxa"/>
            <w:tcBorders/>
            <w:vAlign w:val="center"/>
          </w:tcPr>
          <w:p>
            <w:pPr>
              <w:pStyle w:val="TableContents"/>
              <w:bidi w:val="0"/>
              <w:spacing w:before="0" w:after="283"/>
              <w:jc w:val="left"/>
              <w:rPr>
                <w:sz w:val="4"/>
                <w:szCs w:val="4"/>
              </w:rPr>
            </w:pPr>
            <w:r>
              <w:rPr>
                <w:sz w:val="4"/>
                <w:szCs w:val="4"/>
              </w:rPr>
            </w:r>
          </w:p>
        </w:tc>
        <w:tc>
          <w:tcPr>
            <w:tcW w:w="1077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pPr>
            <w:hyperlink w:anchor="toc31834_28">
              <w:r>
                <w:rPr>
                  <w:rStyle w:val="InternetLink"/>
                  <w:rFonts w:ascii="Times New Roman" w:hAnsi="Times New Roman"/>
                  <w:sz w:val="20"/>
                  <w:u w:val="single"/>
                </w:rPr>
                <w:t>PART III</w:t>
              </w:r>
            </w:hyperlink>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7">
              <w:r>
                <w:rPr>
                  <w:rStyle w:val="InternetLink"/>
                </w:rPr>
                <w:t>Directors, Executive Officers and Corporate Governance</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8">
              <w:r>
                <w:rPr>
                  <w:rStyle w:val="InternetLink"/>
                </w:rPr>
                <w:t>Executive Compensation</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147</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19">
              <w:r>
                <w:rPr>
                  <w:rStyle w:val="InternetLink"/>
                </w:rPr>
                <w:t>Security Ownership of Certain Beneficial Owners and Management and Related Shareholder Matters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20">
              <w:r>
                <w:rPr>
                  <w:rStyle w:val="InternetLink"/>
                </w:rPr>
                <w:t>Certain Relationships and Related Transactions, and Director Independence</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165</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21">
              <w:r>
                <w:rPr>
                  <w:rStyle w:val="InternetLink"/>
                </w:rPr>
                <w:t>Principal Accountant Fees and Services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r>
      <w:tr>
        <w:trPr>
          <w:trHeight w:val="120" w:hRule="atLeast"/>
        </w:trPr>
        <w:tc>
          <w:tcPr>
            <w:tcW w:w="755" w:type="dxa"/>
            <w:tcBorders/>
            <w:vAlign w:val="center"/>
          </w:tcPr>
          <w:p>
            <w:pPr>
              <w:pStyle w:val="TableContents"/>
              <w:bidi w:val="0"/>
              <w:spacing w:before="0" w:after="283"/>
              <w:jc w:val="left"/>
              <w:rPr>
                <w:sz w:val="4"/>
                <w:szCs w:val="4"/>
              </w:rPr>
            </w:pPr>
            <w:r>
              <w:rPr>
                <w:sz w:val="4"/>
                <w:szCs w:val="4"/>
              </w:rPr>
            </w:r>
          </w:p>
        </w:tc>
        <w:tc>
          <w:tcPr>
            <w:tcW w:w="1077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pPr>
            <w:hyperlink w:anchor="toc31834_29">
              <w:r>
                <w:rPr>
                  <w:rStyle w:val="InternetLink"/>
                  <w:rFonts w:ascii="Times New Roman" w:hAnsi="Times New Roman"/>
                  <w:sz w:val="20"/>
                  <w:u w:val="single"/>
                </w:rPr>
                <w:t>PART IV</w:t>
              </w:r>
            </w:hyperlink>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22">
              <w:r>
                <w:rPr>
                  <w:rStyle w:val="InternetLink"/>
                </w:rPr>
                <w:t>Exhibits and Financial Statement Schedules</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177</w:t>
            </w:r>
          </w:p>
        </w:tc>
        <w:tc>
          <w:tcPr>
            <w:tcW w:w="60" w:type="dxa"/>
            <w:tcBorders/>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Item 16.</w:t>
            </w:r>
          </w:p>
        </w:tc>
        <w:tc>
          <w:tcPr>
            <w:tcW w:w="120" w:type="dxa"/>
            <w:tcBorders/>
            <w:vAlign w:val="bottom"/>
          </w:tcPr>
          <w:p>
            <w:pPr>
              <w:pStyle w:val="TableContents"/>
              <w:bidi w:val="0"/>
              <w:spacing w:before="0" w:after="283"/>
              <w:jc w:val="left"/>
              <w:rPr/>
            </w:pPr>
            <w:r>
              <w:rPr/>
              <w:t>  </w:t>
            </w:r>
          </w:p>
        </w:tc>
        <w:tc>
          <w:tcPr>
            <w:tcW w:w="10655" w:type="dxa"/>
            <w:tcBorders/>
            <w:vAlign w:val="bottom"/>
          </w:tcPr>
          <w:p>
            <w:pPr>
              <w:pStyle w:val="TableContents"/>
              <w:bidi w:val="0"/>
              <w:spacing w:before="0" w:after="283"/>
              <w:jc w:val="left"/>
              <w:rPr/>
            </w:pPr>
            <w:hyperlink w:anchor="toc31834_23">
              <w:r>
                <w:rPr>
                  <w:rStyle w:val="InternetLink"/>
                </w:rPr>
                <w:t>Form 10-K Summary</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r>
      <w:tr>
        <w:trPr>
          <w:trHeight w:val="120" w:hRule="atLeast"/>
        </w:trPr>
        <w:tc>
          <w:tcPr>
            <w:tcW w:w="1153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530" w:type="dxa"/>
            <w:gridSpan w:val="3"/>
            <w:tcBorders/>
          </w:tcPr>
          <w:p>
            <w:pPr>
              <w:pStyle w:val="TableContents"/>
              <w:bidi w:val="0"/>
              <w:spacing w:before="0" w:after="0"/>
              <w:jc w:val="left"/>
              <w:rPr/>
            </w:pPr>
            <w:hyperlink w:anchor="toc31834_24">
              <w:r>
                <w:rPr>
                  <w:rStyle w:val="InternetLink"/>
                  <w:rFonts w:ascii="Times New Roman" w:hAnsi="Times New Roman"/>
                  <w:sz w:val="20"/>
                </w:rPr>
                <w:t xml:space="preserve">Signatures </w:t>
              </w:r>
            </w:hyperlink>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on Form 10-K (“Annual Report”) contains forward-looking statements for purposes of the safe harbor provisions under the Private Securities Litigation Reform Act of 1995. All statements other than statements of historical facts contained in this Annual Report may be forward-looking statements. Examples of forward-looking statements include, but are not limited to, statements we make regarding our future results of operations and financial position, business strategy and plans and objectives of management for future operations, including, among others, statements regarding expected growth, future capital expenditures and debt service obligations, such as those contained in “Item 7. Management’s Discussion and Analysis of Financial Condition and Results of Operations.” Many of the forward-looking statements contained in this Annual Report can be identified by the use of forward-looking words such as “anticipate,” “believe,” “could,” “expect,” “should,” “plan,” “may,” “will,” “intend,” “estimate” and “potential,” or the negative of these words and phrases, other variations of these words and phrases or comparable terminology, but not all forward-looking statements include such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but not limited to, those described in “Item 1A. Risk Factors” and “Item 7.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we caution you against relying on any forward-looking statements, which should also be read in conjunction with the other cautionary statements that are included elsewhere in this Annual Report. Any forward-looking statement made by us in this Annual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Risk Factor Summary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more fully in “Item 1A. Risk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other financial and operational disclosures are based upon estimates and assumptions that may differ from actual results or future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related to revenues and costs associated with our contracts with customers could result in a reduction or elimination of revenues, a reduction of profits or the recognition of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backlog may not be realized or may not result in profits and may not accurately represent future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additional duties and tariffs and other trade barriers and retaliatory countermeasures implemented by the U.S. and other governments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may vary significantly from quarter to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elimination or expiration of government incentives for, or regulations mandating the use of, renewable energy and battery storage specifically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labor-intensive, and we may be unable to attract and retain qualified employees or we may incur significant costs in the event we are unable to efficiently manage our workforce or the cost of labor increases;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reduction in business from, certain significant customers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many of our contracts may be canceled or suspended on short notice or may not be renewed upon completion or expiration, and we may be unsuccessful in replacing our contracts, which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adequately recover on contract modifications against project owners for payment or performance, which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our business exposes us to potential liability for warranty, engineering and other 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ordinary course of our business, we are subject to lawsuits, claims and other legal proceedings, as well as bonding claims and related reimbursement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incur liabilities or suffer negative financial or reputational impacts relating to health and safety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deterioration in the quality or reputation of our brands, which can be exacerbated by the effect of social media or significant media coverage,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our inability to attract or keep, key personnel could disrupt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execute our acquisition strategy may have an adverse impact on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compete for projects if we are not able to obtain surety bonds, letters of credit or bank guarantees;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generally paid in arrears for our services and may enter into other arrangements with certain of our customers, which could subject us to potential credit or investment risk and the risk of client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and claims expenses, as well as the unavailability or cancelation of third-party insurance coverage,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results of operations are subject to physical risks including those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various stakeholders with respect to corporate sustainability practices may impose additional costs on us or expose us to reputational or other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unionized workforce and related obligations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protect or enforce our rights in intellectual property could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intellectual property rights claims by third parties, which are extremely costly to defend, could require us to pay significant damages and could limit our ability to use certain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Artificial Intelligence (“AI”) technologies in our business, and the deployment, use, and maintenance of these technologies involve significant technological and legal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projects in our industry can have long sales cycles requiring significant upfront investment of resources which, if they do not result in a project,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applicable to our industry and changes in current and potential legislative and regulatory initiatives may adversely affect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complex federal, state and other environmental, health and safety laws and regulations that could adversely affect the cost, manner or feasibility of conducting our operations or expose us to significant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effective internal control over financial reporting or remediate our material weaknesses in our internal control over financial reporting may result in our being unable to accurately or timely report our financial condition or results of operations, which could negatively impact the market value of our Class A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that are required in order to operate as a public company could be material.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or the context requires otherwise in this Annual Report, all references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AC” refers to alternating current.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American Securities” or “Sponsor” refers to American Securities LLC, a private equity firm, and affiliated funds managed by American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ASPE” refers to ASP Endeavor Acquisition LLC, the parent company of CS Energy.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Blocker Companies” refers to ASP VIII SOLV LP and ASP VIII CSE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pPr>
            <w:r>
              <w:rPr/>
              <w:t>“</w:t>
            </w:r>
            <w:r>
              <w:rPr>
                <w:rFonts w:ascii="Times New Roman" w:hAnsi="Times New Roman"/>
                <w:sz w:val="20"/>
              </w:rPr>
              <w:t xml:space="preserve">Blocker Shareholders” refers collectively to the owners of the Blocker Companies prior to the acquisition of the Blocker Companies by SOLV Energy, Inc., who exchanged their interests in the Blocker Companies for shares of our Class A common stock in connection with the consummation of the Transactions, and includes any aggregator vehicle to which such owners contribute such shares of Class A common stock in connection with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CCGT” refers to combined cycle gas turbine, a type of power plant that uses both a gas turbine and a steam turbine to generate electricity using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pPr>
            <w:r>
              <w:rPr/>
              <w:t>“</w:t>
            </w:r>
            <w:r>
              <w:rPr>
                <w:rFonts w:ascii="Times New Roman" w:hAnsi="Times New Roman"/>
                <w:sz w:val="20"/>
              </w:rPr>
              <w:t xml:space="preserve">Continuing Equity Owners” refers collectively to direct and indirect holders of LLC Interests and our Class B common stock immediately following consummation of the Transactions, including American Securities, Management Holders and other minority investors and their respective permitted transferees who may exchange at each of their respective options (other than, prior to the Management Elective Redemption Date, Management Holders), in whole or in part from time to time, their LLC Interests (along with an equal number of shares of Class B common stock (and such shares shall be immediately cancelled)) for, at our election, cash or newly-issued shares of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CS Energy” refers to CS Energy, LLC and CS Energy Devco,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CS Merger” refers to the merger, on October 7, 2024, of ASPE with SOLV Energy Holdings LLC, pursuant to which SOLV Energy Holdings LLC was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DC” refers to direct current.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EBOS” refers to electrical balance of system, which includes wiring, junction boxes, connections and disconnect switches used in solar and battery energy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EPC” refers to engineering, procurement and construction, a type of contracting where the contractor performs design and engineering services for the project, procures key equipment used in the project and builds the project, such as a solar power plant.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FNTP” refers to full-notice-to-proceed and may also be referred to as “NTP” or notice-to-proceed. FNTP/NTP is a mechanism in some EPC contracts which upon enactment, entitles us to proceed with the full scope of work and have an enforceable right to consideration for all costs incurred, subject to the terms and conditions of the underlying contract. Not all EPC contracts have an FNTP/NTP mechanism as the execution of the contract itself constitutes FNTP/NTP.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GW” refers to gigawatts, a unit of measurement of electrical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HVAC” refers to heating, ventilation and air conditioning.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Holdco Term Loan Credit Agreement” refers to that certain Amended and Restated Credit Agreement, dated as of October 7, 2024, among SOLV Energy Holdings LLC, Wilmington Trust, National Association (or any of its designated branch offices or affiliates), as administrative agent for the secured parties, and the lenders from time to time party thereto, as amended on January 9, 2025 by that certain Amendment No. 1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Amended and Restated Credit Agreement (“Amendment No. 1 to the Holdco Term Loan Credit Agreement”), among SOLV Energy Holdings LLC, Wilmington Trust, National Association (or any of its designated branch offices or affiliates), as administrative agent for the secured parties, and the lenders from time to time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IPO” refers to our initial public offering, which we completed on February 12, 2026, and through which we offered and sold 23,575,000 shares of our Class A common stock at a price to the public of $25.00 per share, which includes the exercise in full by the underwriters of their option to purchase an additional 3,075,000 shares of our Class A common stock. The gross proceeds to us from the IPO were $589.4 million, before deducting underwriting discounts.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kWh” refers to kilowatt hour, the amount of energy produced or consumed in a single hour.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LLC Interests” refers to the common units of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t>“</w:t>
            </w:r>
            <w:r>
              <w:rPr>
                <w:rFonts w:ascii="Times New Roman" w:hAnsi="Times New Roman"/>
                <w:sz w:val="20"/>
              </w:rPr>
              <w:t xml:space="preserve">LNTP” refers to limited-notice-to-proceed agreements, which authorize us to proceed with limited activities on a given EPC contract (e.g., perform initial engineering and site investigation work, procure long lead time equipment) in exchange for a payment that is typically creditable to the overall contract price if the customer uses us to build the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Management Elective Redemption Date” refers to the earlier to occur of (i) the date upon which American Securities (excluding, for the avoidance of doubt, Management Holdings) owns, directly or indirectly, less than twenty percent (20%) of the aggregate economic interests of the Company and (ii) the third anniversary of the IPO.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Management Holders” refers to the executive officers of SOLV Energy, Inc. and other employees, former employees and other service providers of SOLV Energy, Inc. and its direct and indirect subsidiaries who are limited partners of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Management Holdings” refers to SOLV Energy Management Holdings LP, which is an affiliate of, and controlled by, American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MW” refers to megawatt, a unit of measurement of electric power. In the context of solar energy, MW is generally used to describe the power generating capacity of a solar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NERC CIP” refers to the North American Electric Reliability Corporation Critical Infrastructure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New Revolving Credit Facility” refers to the $200.0 million revolving credit facility available under that certain Credit Agreement, dated as of February 12, 2026, by and among SOLV Energy Acquisition LLC, SOLV Energy Intermediate Holdings LLC, the lenders party thereto and KeyBank National Association, as administrative agent, which facility matures on February 12,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O&amp;M” refers to operations and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pPr>
            <w:r>
              <w:rPr/>
              <w:t>“</w:t>
            </w:r>
            <w:r>
              <w:rPr>
                <w:rFonts w:ascii="Times New Roman" w:hAnsi="Times New Roman"/>
                <w:sz w:val="20"/>
              </w:rPr>
              <w:t xml:space="preserve">Original Equity Owners” refers to the direct and indirect owners of LLC Interests prior to the consummation of the Transactions, collectively. Prior to the consummation of the Transactions, SOLV Energy Parent Holdings LP was the sole holder of LLC Interests. As used throughout this Annual Report, Original Equity Owners is deemed to include the indirect holders of LLC Interests, including American Securities, certain executive officers, employees and other minority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Prior Credit Facilities” refers to the Prior Revolving Facility and the Term Loans. The Prior Credit Facilities were repaid and terminated in connection with the IPO.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Prior Revolving Facility” refers to the $90,000,000 revolving credit facility available under that certain Credit Agreement, dated as of December 23, 2021 (as amended, restated, amended and restated, supplemented or otherwise modified from time to time), by and among SOLV Energy Acquisition LLC, SOLV Energy Parent LLC (f/k/a AS Renewable Technologies Intermediate LLC), SOLV Energy Intermediate Holdings LLC (f/k/a AS Renewable Technologies Intermediate II LLC), the lenders party thereto and KeyBank National Association, as administrative agent. The Prior Revolving Facility was terminated in connection with the IPO.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PV” refers to photovoltaic, i.e., the conversion of light into electricity using semiconducting materials, such as solar cells.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SCADA” refers to supervisory control and data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SOLV,” the “Company,” “our company,” “we,” “us” and “our” refer to SOLV Energy, Inc. and its subsidiaries, including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SOLV Energy Holdings LLC Agreement” refers to SOLV Energy Holdings LLC’s amended and restated limited liability company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SOLV Manager” refers to ASP VIII SOLV LP, a wholly-owned subsidiary of SOLV Energy, Inc. and the sole managing member of SOLV Energy Holdings LLC and through which SOLV Energy, Inc. controls the business and affairs of SOLV Energy Holdings LLC and its direct and indirect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Swinerton” refers to Swinerton Incorporated, our former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T&amp;D” refers to transmission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Tax Receivable Agreement” refers to the Tax Receivable Agreement, dated February 10, 2026, entered into by and among SOLV Energy, Inc., SOLV Energy Holdings LLC, the Continuing Equity Owners, the Blocker Shareholders and the other persons from time to time that may become a party thereto (collectively, the “TRA Participants”) in connection with the IPO, pursuant to which, among other things, SOLV Energy, Inc. is required to pay to the TRA Participants 85% of the tax benefits, if any, that it realizes, or is deemed to realize, as a result of certain tax benefits covered by the Tax Receivable Agreement as described in “Item 13. Certain Relationships and Related Transactions, and Director Independence—Tax Receivable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sz w:val="20"/>
              </w:rPr>
              <w:t xml:space="preserve">Term Loans” refers to (i) the initial term loans made to SOLV Energy Holdings LLC pursuant to the Holdco Term Loan Credit Agreement, in an original principal amount of $373,687,500, and (ii) the incremental term loans made to SOLV Energy Holdings LLC pursuant to Amendment No. 1 to the Holdco Term Loan Credit Agreement, in an original principal amount of $32,500,000. In connection with the IPO, the Term Loans were repaid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Transactions” refers to the reorganizational transactions, the redemption of units held by a minority investor, the IPO and the application of the net proceeds therefrom.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Presentation of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includes historical consolidated financial information and other data for SOLV Energy Holdings LLC, which is the accounting predecessor of SOLV Energy, Inc. prior to the IPO. Accordingly, this Annual Report contains the following historical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SOLV Energy, Inc.</w:t>
            </w:r>
            <w:r>
              <w:rPr>
                <w:rFonts w:ascii="Times New Roman" w:hAnsi="Times New Roman"/>
                <w:sz w:val="20"/>
              </w:rPr>
              <w:t xml:space="preserve"> Other than the balance sheet, dated as of December 31, 2025, the historical financial information of SOLV Energy, Inc. is not included in this Annual Report as it is a newly incorporated entity, had no business transactions or activities prior to the consummation of the Transactions and the IPO and had no assets or liabilities during the periods presented in this Annual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SOLV Energy Holdings LLC.</w:t>
            </w:r>
            <w:r>
              <w:rPr>
                <w:rFonts w:ascii="Times New Roman" w:hAnsi="Times New Roman"/>
                <w:sz w:val="20"/>
              </w:rPr>
              <w:t xml:space="preserve"> SOLV Energy Holdings LLC is the accounting predecessor, and the surviving entity, of the CS Merger. Due to the common control ownership of SOLV Energy Holdings LLC, CS Energy, LLC and CS Energy Devco, LLC since 2021, the historical financial information of SOLV Energy Holdings LLC was recast similar to the pooling of interest method and retrospectively adjusted for all periods presented to reflect the combined results of operations, financial position and cash flow of both entities as if the merger had occurred at the earliest period presented, January 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Annual Report have been subject to rounding adjustments. Percentage amounts included in this Annual Report have not in all cases been calculated on the basis of such rounded figures, but on the basis of such amounts prior to rounding. For this reason, percentage amounts in this Annual Report may vary from those obtained by performing the same calculations using the figures in our consolidated financial statements included elsewhere in this Annual Report. Certain other amounts that appear in this Annual Report may not sum due to rounding. </w:t>
      </w:r>
    </w:p>
    <w:p>
      <w:pPr>
        <w:pStyle w:val="TextBody"/>
        <w:bidi w:val="0"/>
        <w:spacing w:before="480" w:after="0"/>
        <w:jc w:val="center"/>
        <w:rPr>
          <w:rFonts w:ascii="Times New Roman" w:hAnsi="Times New Roman"/>
          <w:b/>
          <w:sz w:val="20"/>
        </w:rPr>
      </w:pPr>
      <w:r>
        <w:rPr>
          <w:rFonts w:ascii="Times New Roman" w:hAnsi="Times New Roman"/>
          <w:b/>
          <w:sz w:val="20"/>
        </w:rPr>
        <w:t xml:space="preserve">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a Delaware corporation, was formed on April 1, 2025 and was the issuer of the Class A common stock in the IPO. Prior to the IPO, all of our business operations were conducted through SOLV Energy Holdings LLC and its direct and indirect subsidiaries. Prior to the Transactions, SOLV Energy Parent Holdings LP was the sole holder of common stock of SOLV Energy, Inc. In connection with the IPO, we consummated the following organizational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amended and restated the limited liability company agreement of SOLV Energy Holdings LLC to, among other things, (i) recapitalize all of the ownership interests in SOLV Energy Holdings LLC into LLC Interests and (ii) appoint a wholly-owned subsidiary of SOLV Energy, Inc. as the sole managing member of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amended and restated our certificate of incorporation to, among other things, provide for (i) Class A common stock, with each share of our Class A common stock entitling its holder to one vote per share on all matters presented to our stockholders generally and (ii)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Parent Holdings LP was liquidated by distributing LLC Interests and nominal cash to the Continuing Equity Owners and merging into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acquired, directly and indirectly, LLC Interests held by certain of the Continuing Equity Owners, by means of one or more contributions in exchange for 91,773,571 shares of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87,141,865 shares of our Class B common stock to the Continuing Equity Owners, which is equal to the number of LLC Interests held by such Continuing Equity Owners, for nominal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Blocker Shareholders contributed their equity interests in the Blocker Companies to SOLV Energy, Inc. in exchange for shares of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23,575,000 shares of our Class A common stock to the purchasers in the IPO (including 3,075,000 shares after the underwriters exercised in full their option to purchase additional shares of Class A common stock) in exchange for net proceeds of approximately $552.5 million based upon an IPO price of $25.00 per share, less the underwriting discounts and commissions;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used the net proceeds from the IPO to purchase 23,575,000 newly issued LLC Interests from SOLV Energy Holdings LLC at a price per unit equal to the IPO price, less the underwriting discounts and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caused SOLV Energy Holdings LLC to use the net proceeds from the sale of LLC Interests to SOLV Energy, Inc. to repay in full approximately $405.6 million of amounts due upon repayment under the Term Loans, and, with respect to the remainder, for general corporate purposes, which could include growth initiatives, including potential merger and acquisition opportunities;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entered into the Tax Receivable Agreement with SOLV Energy Holdings LLC and each of the TRA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31834_26"/>
      <w:bookmarkEnd w:id="3"/>
      <w:r>
        <w:rPr>
          <w:rFonts w:ascii="Times New Roman" w:hAnsi="Times New Roman"/>
          <w:b/>
          <w:sz w:val="20"/>
        </w:rPr>
        <w:t xml:space="preserve">PART 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bookmarkStart w:id="4" w:name="toc31834_1"/>
            <w:bookmarkEnd w:id="4"/>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and our Class A common stock is listed on the Nasdaq Stock Market LLC (“Nasdaq”) under the trading symbol “MWH.” Our operations are located in the United States. Our corporate headquarters are located at 16680 West Bernardo Drive, 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have constructed more than 500 power plants representing over 21 GWdc of generating capacity since we were founded in 2008, and we currently provide, or are under contract to provide, O&amp;M services under long-term agreements to 150 operating power plants representing over 21 GWdc of generating capacity. Engineering News Record ranks us the second largest solar contractor in the United States based on 2024 revenues and the seventh largest contractor in power overall. We also believe we are a leading builder of high-voltage substations in the southwestern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specialize in designing, building and maintaining utility-scale solar and battery storage projects with capacities of 200 MWdc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MWdc managed in 2024 according to Wood Mackenzie. As of December 31, 2025, 93% of our total backlog was EPC services and 7% was O&amp;M services, including estimated corrective maintenance. </w:t>
      </w:r>
    </w:p>
    <w:p>
      <w:pPr>
        <w:pStyle w:val="TextBody"/>
        <w:bidi w:val="0"/>
        <w:spacing w:before="240" w:after="0"/>
        <w:jc w:val="left"/>
        <w:rPr>
          <w:rFonts w:ascii="Times New Roman" w:hAnsi="Times New Roman"/>
          <w:sz w:val="20"/>
        </w:rPr>
      </w:pPr>
      <w:r>
        <w:rPr>
          <w:rFonts w:ascii="Times New Roman" w:hAnsi="Times New Roman"/>
          <w:sz w:val="20"/>
        </w:rPr>
        <w:t xml:space="preserve">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GWac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December 31, 2025, we had backlog of approximately $8.0 billion. Our revenue in future periods may differ from the amounts in our backlog due to contract changes or terminations and other factors. See “Item 7. Management’s Discussion and Analysis of Financial Condition and Results of Operations—Backlog” for a discussion of our backlog. </w:t>
      </w:r>
    </w:p>
    <w:p>
      <w:pPr>
        <w:pStyle w:val="TextBody"/>
        <w:bidi w:val="0"/>
        <w:spacing w:before="240" w:after="0"/>
        <w:jc w:val="left"/>
        <w:rPr>
          <w:rFonts w:ascii="Times New Roman" w:hAnsi="Times New Roman"/>
          <w:sz w:val="20"/>
        </w:rPr>
      </w:pPr>
      <w:r>
        <w:rPr>
          <w:rFonts w:ascii="Times New Roman" w:hAnsi="Times New Roman"/>
          <w:sz w:val="20"/>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w:t>
      </w:r>
    </w:p>
    <w:p>
      <w:pPr>
        <w:pStyle w:val="TextBody"/>
        <w:bidi w:val="0"/>
        <w:spacing w:before="240" w:after="0"/>
        <w:jc w:val="left"/>
        <w:rPr>
          <w:rFonts w:ascii="Times New Roman" w:hAnsi="Times New Roman"/>
          <w:sz w:val="20"/>
        </w:rPr>
      </w:pPr>
      <w:r>
        <w:rPr>
          <w:rFonts w:ascii="Times New Roman" w:hAnsi="Times New Roman"/>
          <w:sz w:val="20"/>
        </w:rPr>
        <w:t xml:space="preserve">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 our customers remote monitoring, diagnostic and dispatch capabilities on a 24/7 basis, utilizing real-time data to remotely detect plant performance issues, identify targeted solutions and dispatch field technicians for repair and maintenance services. Our control center captures an aggregate of approximately 2 million data points per second across all of the power plants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headquartered in San Diego, California and have 14 additional locations across the United States. We operate a NERC CIP compliant control center in our San Diego headquarters that we use to monitor and manage the operations of our customers’ power plants.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2008 as Swinerton Renewable Energy (“SRE”)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Our Lifecycle Approach </w:t>
      </w:r>
    </w:p>
    <w:p>
      <w:pPr>
        <w:pStyle w:val="TextBody"/>
        <w:bidi w:val="0"/>
        <w:spacing w:before="120" w:after="0"/>
        <w:jc w:val="left"/>
        <w:rPr>
          <w:rFonts w:ascii="Times New Roman" w:hAnsi="Times New Roman"/>
          <w:sz w:val="20"/>
        </w:rPr>
      </w:pPr>
      <w:r>
        <w:rPr>
          <w:rFonts w:ascii="Times New Roman" w:hAnsi="Times New Roman"/>
          <w:sz w:val="20"/>
        </w:rPr>
        <w:t xml:space="preserve">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Demonstrate value-add to customers by increasing their revenue potential and reducing their O&amp;M costs, rather than just minimizing initial construction cost.</w:t>
            </w:r>
            <w:r>
              <w:rPr>
                <w:rFonts w:ascii="Times New Roman" w:hAnsi="Times New Roman"/>
                <w:sz w:val="20"/>
              </w:rPr>
              <w:t xml:space="preserve"> Under our lifecycle approach, we work with our customers to design their projects, select equipment and integrate the systems on site to maximize energy generation and minimize unnecessary maintenance. We also seek to provide ongoing O&amp;M services 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Bring our customers capabilities that “O&amp;M only” companies cannot.</w:t>
            </w:r>
            <w:r>
              <w:rPr>
                <w:rFonts w:ascii="Times New Roman" w:hAnsi="Times New Roman"/>
                <w:sz w:val="20"/>
              </w:rPr>
              <w:t xml:space="preserve"> Through our new construction business, we have significant resources, including more than 1,600 craftworkers and technicians in the field, and a fleet of over 770 vehicles and trucks and more than 160 pieces of earthmoving and other heavy equipment. We use these resources to provide services to our O&amp;M customers that we believe most “O&amp;M only” companies are unable to self-perform, including repairing major damage from weather events such as hailstorms, hurricanes and tornadoes; performing major equipment upgrades; expanding sites to add incremental generation capacity or battery storage; and repowering.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Generate long-term, recurring revenues. </w:t>
            </w:r>
            <w:r>
              <w:rPr>
                <w:rFonts w:ascii="Times New Roman" w:hAnsi="Times New Roman"/>
                <w:sz w:val="20"/>
              </w:rPr>
              <w:t xml:space="preserve">Our lifecycle approach creates recurring revenues through multi-year O&amp;M agreements and related 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Create incumbency that makes it difficult for our competitors to displace us.</w:t>
            </w:r>
            <w:r>
              <w:rPr>
                <w:rFonts w:ascii="Times New Roman" w:hAnsi="Times New Roman"/>
                <w:sz w:val="20"/>
              </w:rPr>
              <w:t xml:space="preserve"> Solar energy and battery storage projects have useful lives of 35 years and 20 years, respectively, according to the U.S. Energy Information Administration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Identify new business opportunities our competitors may never see.</w:t>
            </w:r>
            <w:r>
              <w:rPr>
                <w:rFonts w:ascii="Times New Roman" w:hAnsi="Times New Roman"/>
                <w:sz w:val="20"/>
              </w:rPr>
              <w:t xml:space="preserve"> We remotely monitor and have a constant on-site presence at, or have our service technicians routinely visit, all of the power plants we manage. Our continuous interaction with our customers’ projects allows us to identify maintenance, expansion and repowering opportunities at their sites that our competitors may never 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Maximize our revenue potential from each project.</w:t>
            </w:r>
            <w:r>
              <w:rPr>
                <w:rFonts w:ascii="Times New Roman" w:hAnsi="Times New Roman"/>
                <w:sz w:val="20"/>
              </w:rPr>
              <w:t xml:space="preserve"> According to the National Renewable Energy Laboratory (“NREL”), the average owner of a utility-scale solar plus battery storage project will spend $0.82 per wattdc on EPC services, $0.20 per wattdc on preventative maintenance and $0.07 per wattdc on corrective maintenance and $0.10 per wattdc on inverter replacement over its 35 year life. An owner of a utility-scale solar plus battery storage project will also spend $0.07 per wattdc on asset management and $0.37 per wattdc on battery augmentation according to NREL which are not services that we currently provide. We believe our lifecycle approach enables us to maximize our revenue potential from every project we build by providing services throughout the project’s entire lifecycle.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Leverage long-term operating data to improve construction methods, make better equipment selections, improve uptime and increase energy generation.</w:t>
            </w:r>
            <w:r>
              <w:rPr>
                <w:rFonts w:ascii="Times New Roman" w:hAnsi="Times New Roman"/>
                <w:sz w:val="20"/>
              </w:rPr>
              <w:t xml:space="preserve"> Our control center captures approximately two million data points per second on every power plant that we manage. We have 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i/>
          <w:sz w:val="20"/>
        </w:rPr>
        <w:t xml:space="preserve">New Construction. </w:t>
      </w:r>
      <w:r>
        <w:rPr>
          <w:rFonts w:ascii="Times New Roman" w:hAnsi="Times New Roman"/>
          <w:sz w:val="20"/>
        </w:rPr>
        <w:t xml:space="preserve">Demand for our EPC services is driven primarily by investment in solar and battery storage projects with capacities of 200 MWdc and larger in the United States. According to NREL, average EPC costs are approximately $0.64 per wattdc for standalone solar projects, $0.24 per wattac for standalone battery storage projects and $0.82 per wattdc for solar plus storage projects (“hybrids”).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Assuming constant average selling prices, annual investment in utility-scale solar, storage and hybrid projects with capacities of 200 MW and greater is forecast to grow 12.1% from 2026 to 2031, representing a compound annual growth rate of 2.3% according to Wood Mackenzie. Key drivers of continued growth in investment in solar and battery storage projects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Unprecedented load growth that is creating an urgent need for new generation. </w:t>
            </w:r>
            <w:r>
              <w:rPr>
                <w:rFonts w:ascii="Times New Roman" w:hAnsi="Times New Roman"/>
                <w:sz w:val="20"/>
              </w:rPr>
              <w:t xml:space="preserve">Annual electricity consumption in the United States will grow 28% from 2024 to 2034 compared with only 5% over the prior ten year period from 2014 to 2024 according to Wood Mackenzie and the EIA. Demand for power is growing rapidly as more data centers are constructed; businesses move manufacturing operations back to the 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Insufficiency of existing and planned fossil generation to meet demand. </w:t>
            </w:r>
            <w:r>
              <w:rPr>
                <w:rFonts w:ascii="Times New Roman" w:hAnsi="Times New Roman"/>
                <w:sz w:val="20"/>
              </w:rPr>
              <w:t xml:space="preserve">Peak electricity demand in the United States is expected to increase by 91 GWac from 2025 to 2030 according to Wood Mackenzie. Wood Mackenzie estimates that ramping up the existing fossil generation fleet and planned new gas generation can only provide 37 GWac of incremental capacity, net of retirements, over the same period. As a result, meeting the remaining 54 GWac of peak electricity demand will require other types of generation, including solar, wind and storage. For example, meeting 54 GWac of peak electricity demand with just solar could require approximately 300 GWdc of solar projects assuming an average capacity accreditation of 23% and a DC-to-AC ratio of 0.77.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Shorter construction timelines and equipment lead times compared to other forms of generation.</w:t>
            </w:r>
            <w:r>
              <w:rPr>
                <w:rFonts w:ascii="Times New Roman" w:hAnsi="Times New Roman"/>
                <w:sz w:val="20"/>
              </w:rPr>
              <w:t xml:space="preserve"> Utility-scale solar energy projects with capacities of 200 MWdc and larger can typically be constructed in 18 months or less, which compares to approximately four years and nine years for natural gas-fired and nuclear power plants, respectively, according to Bloomberg New Energy Finance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Corporate offtakers’ preference for carbon-free power. </w:t>
            </w:r>
            <w:r>
              <w:rPr>
                <w:rFonts w:ascii="Times New Roman" w:hAnsi="Times New Roman"/>
                <w:sz w:val="20"/>
              </w:rPr>
              <w:t xml:space="preserve">According to Wood Mackenzie, 62% of power purchase agreements (“PPAs”) in the United States in 2024 and the first 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Lower cost and less environmental impact than natural gas-fired generation</w:t>
            </w:r>
            <w:r>
              <w:rPr>
                <w:rFonts w:ascii="Times New Roman" w:hAnsi="Times New Roman"/>
                <w:sz w:val="20"/>
              </w:rPr>
              <w:t xml:space="preserve">. Wood Mackenzie estimates that the levelized cost of energy for utility-scale solar with trackers including the investment tax credit (“ITC”); utility-scale solar with trackers excluding the ITC; and hybrids including the ITC for the battery storage system is $56.01, $72.14 and $75.65 per MWh, respectively, which compares with $106.50 per MWh for gas CCGTs. Additionally, the capital cost per megawatt for hybrids increased just 1% from 2020 to 2025, while the capital cost for gas CCGTs increased 43% over the same period according to Wood Mackenzie. Solar energy’s lower levelized cost of energy and capital cost per megawatt, combined with its lack of greenhouse gas emissions make it an attractive source of new generation capacity to utilities, corporations and the public when compared to new gas-fired generation. The falling cost of battery technologies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also making it possible for solar to compete with natural gas-fired as economical base load generation in certain areas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Advanced permitting and interconnection. </w:t>
            </w:r>
            <w:r>
              <w:rPr>
                <w:rFonts w:ascii="Times New Roman" w:hAnsi="Times New Roman"/>
                <w:sz w:val="20"/>
              </w:rPr>
              <w:t xml:space="preserve">Obtaining approval to connect a new power plant to the grid can take between four and nine years, 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demand for battery storage. </w:t>
            </w:r>
            <w:r>
              <w:rPr>
                <w:rFonts w:ascii="Times New Roman" w:hAnsi="Times New Roman"/>
                <w:sz w:val="20"/>
              </w:rPr>
              <w:t xml:space="preserve">Rising power prices and falling system costs have enabled more use cases for battery storage including firming renewables, load shifting, peak shaving, energy arbitrage and deferral of T&amp;D investment. According to Wood Mackenzie, utility-scale battery storage capacity installed will increase from 85 GWh in 2025 to 859 GWh in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Retirements of coal-fired generation. </w:t>
            </w:r>
            <w:r>
              <w:rPr>
                <w:rFonts w:ascii="Times New Roman" w:hAnsi="Times New Roman"/>
                <w:sz w:val="20"/>
              </w:rPr>
              <w:t xml:space="preserve">Nearly 150 GWac of coal-fired and other generating capacity representing 11% of the existing generation fleet in the United States as of year-end 2024 is slated to be retired from 2025 through 2034, according to Wood Mackenzie. In most cases, these facilities must be replaced with new power plants to ensure the regions they serve will have adequate power to meet the growing needs of businesses and consumers.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Inelasticity of power demand. </w:t>
            </w:r>
            <w:r>
              <w:rPr>
                <w:rFonts w:ascii="Times New Roman" w:hAnsi="Times New Roman"/>
                <w:sz w:val="20"/>
              </w:rPr>
              <w:t xml:space="preserve">Installations of solar projects have continued to grow even as PPA prices have increased. For example, according to Wood Mackenzie and Berkeley Labs, annual installations of solar projects increased from 7.9 GWdc in 2019 to 41.2 GWdc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 </w:t>
            </w:r>
          </w:p>
        </w:tc>
      </w:tr>
    </w:tbl>
    <w:p>
      <w:pPr>
        <w:pStyle w:val="TextBody"/>
        <w:bidi w:val="0"/>
        <w:spacing w:before="240" w:after="0"/>
        <w:jc w:val="left"/>
        <w:rPr>
          <w:rFonts w:ascii="Times New Roman" w:hAnsi="Times New Roman"/>
          <w:sz w:val="20"/>
        </w:rPr>
      </w:pPr>
      <w:r>
        <w:rPr>
          <w:rFonts w:ascii="Times New Roman" w:hAnsi="Times New Roman"/>
          <w:i/>
          <w:sz w:val="20"/>
        </w:rPr>
        <w:t>Existing Infrastructure.</w:t>
      </w:r>
      <w:r>
        <w:rPr>
          <w:rFonts w:ascii="Times New Roman" w:hAnsi="Times New Roman"/>
          <w:sz w:val="20"/>
        </w:rPr>
        <w:t xml:space="preserve"> Demand for our O&amp;M services is driven primarily by the number and capacity of operating utility-scale solar energy and battery storage projects and their age. Older projects typically require more maintenance, including inverter replacements and battery augmentation. Assuming constant average selling prices, spending on O&amp;M for solar energy and battery storage projects will grow from $2.6 billion in 2026 to $4.4 billion in 2031, representing a compound annual growth rate of 10.5%, according to Wood Mackenzie and NREL. Key drivers supporting continued growth in demand for O&amp;M services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Rapidly growing installed base. </w:t>
            </w:r>
            <w:r>
              <w:rPr>
                <w:rFonts w:ascii="Times New Roman" w:hAnsi="Times New Roman"/>
                <w:sz w:val="20"/>
              </w:rPr>
              <w:t xml:space="preserve">According to Wood Mackenzie, the capacity of operating utility-scale solar energy and battery storage projects in the United States will increase from 165 GWdc and 29 GWac at the end of 2024 to 491 GWdc and 207 GWac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Aging fleet that will require increasing levels of maintenance. </w:t>
            </w:r>
            <w:r>
              <w:rPr>
                <w:rFonts w:ascii="Times New Roman" w:hAnsi="Times New Roman"/>
                <w:sz w:val="20"/>
              </w:rPr>
              <w:t xml:space="preserve">According to Wood Mackenzie, 35 GWac and 150 GWac of solar energy and battery storage projects will be more than ten years old by the end of 2029 and 2034, respectively, compared to only 9 GWac at the end of 2024, and 9 GWac and 35 GWac of solar energy and battery storage projects will be more than 15 years old by the end of 2029 and 2034, respectively, compared to less than 1 GWac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Increasing return on investment from repowering. </w:t>
            </w:r>
            <w:r>
              <w:rPr>
                <w:rFonts w:ascii="Times New Roman" w:hAnsi="Times New Roman"/>
                <w:sz w:val="20"/>
              </w:rPr>
              <w:t xml:space="preserve">Owners of existing solar energy projects can increase their revenues by adding battery storage, replacing existing solar modules with newer models that generate 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spending on EPC and O&amp;M services for solar and battery storage projects is forecast to grow at a compound annual growth rate of 3.7%,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strengths position us to capitalize on continued growth in demand for the services we provide, reinforce our leadership position in the markets we focus on, and differentiate us from our competitors: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Long history, large scale and market leadership.</w:t>
            </w:r>
            <w:r>
              <w:rPr>
                <w:rFonts w:ascii="Times New Roman" w:hAnsi="Times New Roman"/>
                <w:sz w:val="20"/>
              </w:rPr>
              <w:t xml:space="preserve"> We have been building, operating and maintaining solar energy projects continuously for over 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MWdc and larger projects. We were the second largest builder of battery storage systems in 2024 according to Solar Power World, and we are the second largest independent provider of O&amp;M services to solar energy projects in the Americas based on the number of MWdc managed in 2024 according to Wood Mackenzie. We believe our long history, large scale and market leadership give us several advantages over our smaller competitors with less operating history,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prospective customers confidence that we have the financial and operational resources to complete large, complex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recognized by our customers’ lenders as a “bankable” service provider that reduces execution and operational risk, which we believe translates to better financing terms for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experience and operating data to accurately price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preferential terms from equipment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easier to attract and retain talented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benefiting from proprietary means and methods developed over millions of hours of experience building and maintaining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financial strength to make investments in construction equipment such as pile drivers, boring machines, deep foundation drills, trenchers and customized solar production equipment that give us operational advantages;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risk that any single project or conditions in a particular region of the country pose to our financial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Lifecycle approach that differentiates us from our competitors, creates recurring revenues and maximizes our revenue potential from each project.</w:t>
            </w:r>
            <w:r>
              <w:rPr>
                <w:rFonts w:ascii="Times New Roman" w:hAnsi="Times New Roman"/>
                <w:sz w:val="20"/>
              </w:rPr>
              <w:t xml:space="preserve"> We believe we are the only top five EPC that also offers O&amp;M services at scale and the only top five O&amp;M services provider that also offers EPC services at 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Industry-Leading O&amp;M Capabilities.</w:t>
            </w:r>
            <w:r>
              <w:rPr>
                <w:rFonts w:ascii="Times New Roman" w:hAnsi="Times New Roman"/>
                <w:sz w:val="20"/>
              </w:rPr>
              <w:t xml:space="preserve"> We have developed a comprehensive set of O&amp;M capabilities that enable us to serve the needs of owners after their power plants commence operations, including a NERC-registered medium impact operations center that provides 24/7 monitoring and control for power plants, a team of over 200 field service technicians that are authorized to perform warranty work on most major brands of equipment used by our customers and a proprietary software platform called Vitals that integrates with our customers’ SCADA systems to provide real-time system performance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Contracting process that minimizes construction risk through LNTP agreements.</w:t>
            </w:r>
            <w:r>
              <w:rPr>
                <w:rFonts w:ascii="Times New Roman" w:hAnsi="Times New Roman"/>
                <w:sz w:val="20"/>
              </w:rPr>
              <w:t xml:space="preserve"> We typically engage with customers on new construction 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Direct beneficiary of accelerating load growth and the retirement of fossil generation.</w:t>
            </w:r>
            <w:r>
              <w:rPr>
                <w:rFonts w:ascii="Times New Roman" w:hAnsi="Times New Roman"/>
                <w:sz w:val="20"/>
              </w:rPr>
              <w:t xml:space="preserve"> The consumption of power in the United States is 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GWac per year compared to the prior 10-year period and represent $518 billion of investment and 66% of all new generation constructed over the period. We believe increasing demand for power, fossil generation retirements and the large proportion of new generation that is expected to be solar and battery storage projects will result in growing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Longstanding relationships with leading independent power producers, utilities and developers. </w:t>
            </w:r>
            <w:r>
              <w:rPr>
                <w:rFonts w:ascii="Times New Roman" w:hAnsi="Times New Roman"/>
                <w:sz w:val="20"/>
              </w:rPr>
              <w:t xml:space="preserve">We strive to build long-term relationships with large customers that make significant investments in new power plants every year. We generated all of our 2024 revenues from jobs for clients that were also clients during the past three years and the average length of our relationship with our top 10 clients in 2024 was seven years. Additionally, we have dedicated teams of technicians that are co-located at many of our clients’ facilities to assist with the operation and maintenance of their power plants, further embedding us with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Economies of scale in O&amp;M services. </w:t>
            </w:r>
            <w:r>
              <w:rPr>
                <w:rFonts w:ascii="Times New Roman" w:hAnsi="Times New Roman"/>
                <w:sz w:val="20"/>
              </w:rPr>
              <w:t xml:space="preserve">Most preventative maintenance of solar and battery storage projects is undertaken by technical service teams that travel from site-to-site on a route. The denser their route, measured by the number of projects in close proximity to one another, the more revenue the service team will generate for each hour they work. As of December 31, 2025, we provide, or are under contract to provide, preventative maintenance services to 150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Comprehensive risk management. </w:t>
            </w:r>
            <w:r>
              <w:rPr>
                <w:rFonts w:ascii="Times New Roman" w:hAnsi="Times New Roman"/>
                <w:sz w:val="20"/>
              </w:rPr>
              <w:t xml:space="preserve">We have developed a comprehensive risk management system that is designed to ensure our projects achieve 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Strong free cash flow generation. </w:t>
            </w:r>
            <w:r>
              <w:rPr>
                <w:rFonts w:ascii="Times New Roman" w:hAnsi="Times New Roman"/>
                <w:sz w:val="20"/>
              </w:rPr>
              <w:t xml:space="preserve">We prioritize free cash flow generation. Elements of our business model that allow us to generate strong free cash flow include our contract structure which requires our customers to make upfront deposits on long-lead equipment and materials prior to us beginning work and incurring costs; payment terms that obligate our customers to make monthly progress payments; modest capital expenditures as a percentage of our revenues; and a low level of debt which keeps our cash interest cost low. For the fiscal year ended December 31, 2025, we generated $331.6 million of net cash provided by operating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Culture of innovation that prioritizes tech-enablement.</w:t>
            </w:r>
            <w:r>
              <w:rPr>
                <w:rFonts w:ascii="Times New Roman" w:hAnsi="Times New Roman"/>
                <w:sz w:val="20"/>
              </w:rPr>
              <w:t xml:space="preserve"> We believe that integrating technology with business processes enhances efficiency, 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Experienced management team with long tenures in the construction and power industries</w:t>
            </w:r>
            <w:r>
              <w:rPr>
                <w:rFonts w:ascii="Times New Roman" w:hAnsi="Times New Roman"/>
                <w:sz w:val="20"/>
              </w:rPr>
              <w:t xml:space="preserve">. Our management team has an average of more 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 series of interrelated strategies designed to maximize our growth potential,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increase new construction market share.</w:t>
            </w:r>
            <w:r>
              <w:rPr>
                <w:rFonts w:ascii="Times New Roman" w:hAnsi="Times New Roman"/>
                <w:sz w:val="20"/>
              </w:rPr>
              <w:t xml:space="preserve"> As solar energy projects grow larger and more complex, we believe large EPCs, such as ourselves, are well-positioned to increase our share of the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Increasing our presence in the battery storage market.</w:t>
            </w:r>
            <w:r>
              <w:rPr>
                <w:rFonts w:ascii="Times New Roman" w:hAnsi="Times New Roman"/>
                <w:sz w:val="20"/>
              </w:rPr>
              <w:t xml:space="preserve"> Battery storage is a rapidly growing segment of the power market with annual installations forecast to grow more than ten times from 85 GWh in 2024 to 859 GWh in 2034 according to Wood Mackenzie. As of December 31, 2025, over $2.1 billion of our backlog related to solar plus storage and standalone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our revenues from existing infrastructure. </w:t>
            </w:r>
            <w:r>
              <w:rPr>
                <w:rFonts w:ascii="Times New Roman" w:hAnsi="Times New Roman"/>
                <w:sz w:val="20"/>
              </w:rPr>
              <w:t xml:space="preserve">O&amp;M services, including preventative and corrective maintenance, equipment upgrades, 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into new end-markets.</w:t>
            </w:r>
            <w:r>
              <w:rPr>
                <w:rFonts w:ascii="Times New Roman" w:hAnsi="Times New Roman"/>
                <w:sz w:val="20"/>
              </w:rPr>
              <w:t xml:space="preserve"> We intend to apply our know-how and capabilities to new end-markets that are experiencing significant growth. We are currently evaluating the utility infrastructure and data center markets which we believe may offer both attractive EPC and O&amp;M opportunities. For example, on June 13, 2025, we acquired Spartan Infrastructure, Inc.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Leveraging innovation to improve efficiency and increase margins.</w:t>
            </w:r>
            <w:r>
              <w:rPr>
                <w:rFonts w:ascii="Times New Roman" w:hAnsi="Times New Roman"/>
                <w:sz w:val="20"/>
              </w:rPr>
              <w:t xml:space="preserve"> We plan to apply data analytics, automation and robotics to streamline processes, reduce labor hours, optimize resource allocation and improve quality. We also have a dedicated team focused on developing and piloting new methods, tools and equipment that reduce labor hours with the goal of increasing our margins and shortening construction timelines.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invest in craft skilled labor.</w:t>
            </w:r>
            <w:r>
              <w:rPr>
                <w:rFonts w:ascii="Times New Roman" w:hAnsi="Times New Roman"/>
                <w:sz w:val="20"/>
              </w:rPr>
              <w:t xml:space="preserve"> We are a people business that depends on attracting and retaining high quality employees to continue our growth. To ensure we can attract and develop the best 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Making targeted acquisitions. </w:t>
            </w:r>
            <w:r>
              <w:rPr>
                <w:rFonts w:ascii="Times New Roman" w:hAnsi="Times New Roman"/>
                <w:sz w:val="20"/>
              </w:rPr>
              <w:t xml:space="preserve">We believe that acquisitions can accelerate our growth by adding capabilities that we do not currently have, 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Sacramento Drilling, Inc. (“SDI”), a provider of specialized foundation drilling services. The acquisition of SDI expanded the services we could offer our customers as well as allowed us to capture incremental margin by self-performing a service that we previously subcontracted to third party providers.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Services </w:t>
      </w:r>
    </w:p>
    <w:p>
      <w:pPr>
        <w:pStyle w:val="TextBody"/>
        <w:bidi w:val="0"/>
        <w:spacing w:before="120" w:after="0"/>
        <w:jc w:val="left"/>
        <w:rPr>
          <w:rFonts w:ascii="Times New Roman" w:hAnsi="Times New Roman"/>
          <w:sz w:val="20"/>
        </w:rPr>
      </w:pPr>
      <w:r>
        <w:rPr>
          <w:rFonts w:ascii="Times New Roman" w:hAnsi="Times New Roman"/>
          <w:sz w:val="20"/>
        </w:rPr>
        <w:t xml:space="preserve">We provide a comprehensive suite of services for both new construction and existing infrastructure.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Construction Services </w:t>
      </w:r>
    </w:p>
    <w:p>
      <w:pPr>
        <w:pStyle w:val="TextBody"/>
        <w:bidi w:val="0"/>
        <w:spacing w:before="120" w:after="0"/>
        <w:jc w:val="left"/>
        <w:rPr>
          <w:rFonts w:ascii="Times New Roman" w:hAnsi="Times New Roman"/>
          <w:sz w:val="20"/>
        </w:rPr>
      </w:pPr>
      <w:r>
        <w:rPr>
          <w:rFonts w:ascii="Times New Roman" w:hAnsi="Times New Roman"/>
          <w:b/>
          <w:i/>
          <w:sz w:val="20"/>
        </w:rPr>
        <w:t>Engineering.</w:t>
      </w:r>
      <w:r>
        <w:rPr>
          <w:rFonts w:ascii="Times New Roman" w:hAnsi="Times New Roman"/>
          <w:sz w:val="20"/>
        </w:rPr>
        <w:t xml:space="preserve"> We provide custom design and engineering services for new solar and battery storage projects and related T&amp;D infrastructure, including site layout, energy modeling, sub-surface risk analysis and electrical engineering. We specialize in value engineering and environmental compliance. Value engineering is the process of using proprietary software tools, in combination with our significant construction and O&amp;M expertise to optimize a project’s design for cost, constructability, performance and longevity. Environmental compliance is the process of ensuring that a power plant will comply with all relevant environmental regulations during construction as well as over its operating life. We have licensed engineers on staff and typically provide our customers with on-site engineering support throughout project development to reduce the risk of environmental violations. We typically charge for engineering services as part of a larger lump sum EPC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Procurement.</w:t>
      </w:r>
      <w:r>
        <w:rPr>
          <w:rFonts w:ascii="Times New Roman" w:hAnsi="Times New Roman"/>
          <w:sz w:val="20"/>
        </w:rPr>
        <w:t xml:space="preserve"> We typically procure most of the equipment and materials used in the projects we build, except for solar modules and batteries which most of our customers purchase directly from vendors. Major materials categories we purchase, including piles, inverters, trackers and fixed racking systems, cabling, and electrical equipment often represents between 40% and 45% of the total value of our EPC contracts. We offer procurement services, including advising our customers on the merits of various equipment suppliers, specifying the appropriate equipment for the site and desired capabilities, obtaining quotes from suppliers, negotiating purchase terms and purchasing the equipment. We have established master purchase order agreements with key equipment suppliers with pre-negotiated terms that give us preferred pricing, secured capacity and reduced lead times. We maintain relationships with both domestic and international suppliers and have more than three qualified suppliers for the major components we purchase. We typically charge for procurement services as part of a lump sum EPC contract. </w:t>
      </w:r>
    </w:p>
    <w:p>
      <w:pPr>
        <w:pStyle w:val="TextBody"/>
        <w:bidi w:val="0"/>
        <w:spacing w:before="240" w:after="0"/>
        <w:jc w:val="left"/>
        <w:rPr>
          <w:rFonts w:ascii="Times New Roman" w:hAnsi="Times New Roman"/>
          <w:sz w:val="20"/>
        </w:rPr>
      </w:pPr>
      <w:r>
        <w:rPr>
          <w:rFonts w:ascii="Times New Roman" w:hAnsi="Times New Roman"/>
          <w:b/>
          <w:i/>
          <w:sz w:val="20"/>
        </w:rPr>
        <w:t>Construction.</w:t>
      </w:r>
      <w:r>
        <w:rPr>
          <w:rFonts w:ascii="Times New Roman" w:hAnsi="Times New Roman"/>
          <w:sz w:val="20"/>
        </w:rPr>
        <w:t xml:space="preserve"> We provide comprehensive construction services for solar, battery storage and related T&amp;D infrastructure projects that cover the civil, mechanical and electrical scopes of work. The civil scope of work typically includes clearing and grading the site, creating drainage systems and installing foundations. The mechanical scope of work typically includes erecting the racking systems and mounting solar panels. The electrical scope of work typically includes installing EBOS, inverters and batteries and interconnecting the various components. In contrast to many of our competitors, we typically self-perform all scopes of work on our projects, and we manage project execution through a highly experienced group of regional managers and general superintendents. We charge for construction services on a lump sum basis. </w:t>
      </w:r>
    </w:p>
    <w:p>
      <w:pPr>
        <w:pStyle w:val="TextBody"/>
        <w:bidi w:val="0"/>
        <w:spacing w:before="240" w:after="0"/>
        <w:jc w:val="left"/>
        <w:rPr>
          <w:rFonts w:ascii="Times New Roman" w:hAnsi="Times New Roman"/>
          <w:sz w:val="20"/>
        </w:rPr>
      </w:pPr>
      <w:r>
        <w:rPr>
          <w:rFonts w:ascii="Times New Roman" w:hAnsi="Times New Roman"/>
          <w:b/>
          <w:i/>
          <w:sz w:val="20"/>
        </w:rPr>
        <w:t>Testing.</w:t>
      </w:r>
      <w:r>
        <w:rPr>
          <w:rFonts w:ascii="Times New Roman" w:hAnsi="Times New Roman"/>
          <w:sz w:val="20"/>
        </w:rPr>
        <w:t xml:space="preserve"> We offer a series of third-party tests on equipment to confirm it operates to the standards included in the original equipment manufacturer’s warranty, utility testing requirements for power output are met and performance tests as stipulated in our contracts are validated. For T&amp;D equipment, we offer NETA-compliant acceptance testing to confirm that any transmission infrastructure meets national standards prior to operation. We typically charge for testing services on a lump sum or time and materials basis. </w:t>
      </w:r>
    </w:p>
    <w:p>
      <w:pPr>
        <w:pStyle w:val="TextBody"/>
        <w:bidi w:val="0"/>
        <w:spacing w:before="240" w:after="0"/>
        <w:jc w:val="left"/>
        <w:rPr>
          <w:rFonts w:ascii="Times New Roman" w:hAnsi="Times New Roman"/>
          <w:sz w:val="20"/>
        </w:rPr>
      </w:pPr>
      <w:r>
        <w:rPr>
          <w:rFonts w:ascii="Times New Roman" w:hAnsi="Times New Roman"/>
          <w:b/>
          <w:i/>
          <w:sz w:val="20"/>
        </w:rPr>
        <w:t>Commissioning.</w:t>
      </w:r>
      <w:r>
        <w:rPr>
          <w:rFonts w:ascii="Times New Roman" w:hAnsi="Times New Roman"/>
          <w:sz w:val="20"/>
        </w:rPr>
        <w:t xml:space="preserve"> We offer extensive commissioning services that we believe are unique in our industry and differentiate us from our competitors. Commissioning is the process of verifying that all individual components of the power plant have been optimized to operate together in a way that maximizes the power plant’s overall performance. Our dedicated commissioning teams and process streamlines trouble-shooting and data integration so that power plants can meet or beat the deadlines for when power must be available for utility consumption. We typically charge for commissioning services on a time and materials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Infrastructure Services </w:t>
      </w:r>
    </w:p>
    <w:p>
      <w:pPr>
        <w:pStyle w:val="TextBody"/>
        <w:bidi w:val="0"/>
        <w:spacing w:before="120" w:after="0"/>
        <w:jc w:val="left"/>
        <w:rPr>
          <w:rFonts w:ascii="Times New Roman" w:hAnsi="Times New Roman"/>
          <w:sz w:val="20"/>
        </w:rPr>
      </w:pPr>
      <w:r>
        <w:rPr>
          <w:rFonts w:ascii="Times New Roman" w:hAnsi="Times New Roman"/>
          <w:b/>
          <w:i/>
          <w:sz w:val="20"/>
        </w:rPr>
        <w:t>Operations</w:t>
      </w:r>
      <w:r>
        <w:rPr>
          <w:rFonts w:ascii="Times New Roman" w:hAnsi="Times New Roman"/>
          <w:sz w:val="20"/>
        </w:rPr>
        <w:t> </w:t>
      </w:r>
      <w:r>
        <w:rPr>
          <w:rFonts w:ascii="Times New Roman" w:hAnsi="Times New Roman"/>
          <w:b/>
          <w:i/>
          <w:sz w:val="20"/>
        </w:rPr>
        <w:t>&amp; Maintenance.</w:t>
      </w:r>
      <w:r>
        <w:rPr>
          <w:rFonts w:ascii="Times New Roman" w:hAnsi="Times New Roman"/>
          <w:sz w:val="20"/>
        </w:rPr>
        <w:t xml:space="preserve"> We offer a wide range of O&amp;M services, up to and including manning customers’ sites with our personnel and operating their assets for them. Our operations services include managing and controlling the power plant, monitoring its performance, particularly for uptime and availability, and ensuring compliance with safety and regulatory requirements. To facilitate our operations services, we install end-to-end SCADA and network infrastructure solutions during the construction of a project that allow us to remotely monitor and control the site from our 24-7 state-of-the-art Operations Control Center (“OCC”) in San Diego. As a NERC-registered medium impact facility, the OCC is compliant with all applicable NERC CIP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maintenance services include both preventative maintenance and corrective maintenance. Preventative maintenance is the systematic care and upkeep necessary to ensure reliable performance of the power plant including component warranty preservation, routine equipment inspections, testing, vegetation management and panel cleaning, monitoring system performance and addressing potential issues before they escalate. We typically charge fixed fees for preventative maintenance pursuant to contracts that typically have a minimum term of five years and renew automatically for successive one-year periods at the end of the initial term. </w:t>
      </w:r>
    </w:p>
    <w:p>
      <w:pPr>
        <w:pStyle w:val="TextBody"/>
        <w:bidi w:val="0"/>
        <w:spacing w:before="240" w:after="0"/>
        <w:jc w:val="left"/>
        <w:rPr>
          <w:rFonts w:ascii="Times New Roman" w:hAnsi="Times New Roman"/>
          <w:sz w:val="20"/>
        </w:rPr>
      </w:pPr>
      <w:r>
        <w:rPr>
          <w:rFonts w:ascii="Times New Roman" w:hAnsi="Times New Roman"/>
          <w:sz w:val="20"/>
        </w:rPr>
        <w:t xml:space="preserve">Corrective maintenance includes the repair or replacement of any major equipment or component resulting from a malfunction, damage from weather and natural catastrophes, recalls, manufacturer recommendations or vandalism. We maintain dedicated teams to execute large-scale corrective repairs which allows our on-site technicians focused on the day-to-day operation and maintenance of the site. We charge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b/>
          <w:i/>
          <w:sz w:val="20"/>
        </w:rPr>
        <w:t>Repowering.</w:t>
      </w:r>
      <w:r>
        <w:rPr>
          <w:rFonts w:ascii="Times New Roman" w:hAnsi="Times New Roman"/>
          <w:sz w:val="20"/>
        </w:rPr>
        <w:t xml:space="preserve"> Owners often choose to upgrade or replace major equipment during the life of a power plant to improve its productivity, upgrade the technology or extend its useful life. Our repowering services include replacing solar modules, inverters or trackers and battery augmentation. We believe lifecycle approach and significant labor and equipment resources enables us to manage and execute large repowering projects more efficiently than O&amp;M-only providers. We believe repowering activity will increase over time as available points of interconnection become more and more scarce and improvements in technology increase the return on investment that can be achieved by replacing older equipment. </w:t>
      </w:r>
    </w:p>
    <w:p>
      <w:pPr>
        <w:pStyle w:val="TextBody"/>
        <w:bidi w:val="0"/>
        <w:spacing w:before="360" w:after="0"/>
        <w:jc w:val="left"/>
        <w:rPr>
          <w:rFonts w:ascii="Times New Roman" w:hAnsi="Times New Roman"/>
          <w:b/>
          <w:sz w:val="20"/>
        </w:rPr>
      </w:pPr>
      <w:r>
        <w:rPr>
          <w:rFonts w:ascii="Times New Roman" w:hAnsi="Times New Roman"/>
          <w:b/>
          <w:sz w:val="20"/>
        </w:rPr>
        <w:t xml:space="preserve">Sales &amp; Marketing </w:t>
      </w:r>
    </w:p>
    <w:p>
      <w:pPr>
        <w:pStyle w:val="TextBody"/>
        <w:bidi w:val="0"/>
        <w:spacing w:before="120" w:after="0"/>
        <w:jc w:val="left"/>
        <w:rPr>
          <w:rFonts w:ascii="Times New Roman" w:hAnsi="Times New Roman"/>
          <w:sz w:val="20"/>
        </w:rPr>
      </w:pPr>
      <w:r>
        <w:rPr>
          <w:rFonts w:ascii="Times New Roman" w:hAnsi="Times New Roman"/>
          <w:sz w:val="20"/>
        </w:rPr>
        <w:t xml:space="preserve">We have a dedicated sales team focused on building and maintaining close relationships with project developers, independent power producers and utilities that are building new solar and battery storage projects. We have an integrated sales team that brings together subject matter experts and technical specialists across our new construction and existing infrastructure services teams. We market our lifecycle approach to all prospective customers and incentivize our sales team to sell both new construction and existing infrastructure services. We strive to build long-term relationships with customers and consistently maintain dialogue on their upcoming projects and future needs. Using data from our existing and prospective customers’ pipelines, we have built a proprietary database of over 250 GWs of projects that could begin construction over the next five years to prioritize potential customers, facilitate bilateral negotiations and develop our sales goals. Our database is based on conversations with our customers who typically share their project pipelines with us, as well as information generated using a software tool we developed to track all power projects in development. </w:t>
      </w:r>
    </w:p>
    <w:p>
      <w:pPr>
        <w:pStyle w:val="TextBody"/>
        <w:bidi w:val="0"/>
        <w:spacing w:before="240" w:after="0"/>
        <w:jc w:val="left"/>
        <w:rPr>
          <w:rFonts w:ascii="Times New Roman" w:hAnsi="Times New Roman"/>
          <w:sz w:val="20"/>
        </w:rPr>
      </w:pPr>
      <w:r>
        <w:rPr>
          <w:rFonts w:ascii="Times New Roman" w:hAnsi="Times New Roman"/>
          <w:sz w:val="20"/>
        </w:rPr>
        <w:t xml:space="preserve">We seek to increase awareness of our company and capabilities through membership in industry organizations including the Solar Energy Industries Association (“SEIA”) and American Clean Power Association (“ACP”), as well as participation in key industry events including RE+, Intersolar North America and Asset Management North America (“AMNA”). We also conduct targeted public relations efforts to drive brand awareness and educate customers on our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include project developers, independent power producers and utilities. As of December 31, 2025, our largest customer accounted for approximately 14% of our revenues, and our top ten largest customers accounted for approximately 73% of our revenues.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Contracts </w:t>
      </w:r>
    </w:p>
    <w:p>
      <w:pPr>
        <w:pStyle w:val="TextBody"/>
        <w:bidi w:val="0"/>
        <w:spacing w:before="120" w:after="0"/>
        <w:jc w:val="left"/>
        <w:rPr>
          <w:rFonts w:ascii="Times New Roman" w:hAnsi="Times New Roman"/>
          <w:sz w:val="20"/>
        </w:rPr>
      </w:pPr>
      <w:r>
        <w:rPr>
          <w:rFonts w:ascii="Times New Roman" w:hAnsi="Times New Roman"/>
          <w:b/>
          <w:i/>
          <w:sz w:val="20"/>
        </w:rPr>
        <w:t>EPC Services</w:t>
      </w:r>
      <w:r>
        <w:rPr>
          <w:rFonts w:ascii="Times New Roman" w:hAnsi="Times New Roman"/>
          <w:i/>
          <w:sz w:val="20"/>
        </w:rPr>
        <w:t>.</w:t>
      </w:r>
      <w:r>
        <w:rPr>
          <w:rFonts w:ascii="Times New Roman" w:hAnsi="Times New Roman"/>
          <w:sz w:val="20"/>
        </w:rPr>
        <w:t xml:space="preserve"> We initially engage with customers by providing a preliminary estimate for the project based on a layout for the site, parameters for key equipment, sub-surface geotechnical analysis and other available information about the project. If a customer accepts our estimate and awards us the project, we typically enter into an LNTP agreement pursuant to which the customer pays us for engineering and site investigation work, including in depth soil and foundation pile testing, that allows us to further refine our estimate. We typically complete multiple LNTPs that include deposits on long-lead equipment and materials, design work and early site mobilization, before we enter into a lump sum EPC contract with our customer. LNTP agreements significantly reduce the risks for both us and our customers because they provide an opportunity to identify unforeseen risks or costs and incorporate them into our estimate before we commit to a fixed price for the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completion of the LNTP agreements, we typically engage with customers for EPC services under lump sum contracts that are executed over 12 to 18 months. Our lump sum contracts allocate responsibility for specific aspects of the work between the parties, such as permitting and procurement tasks, and establish project timelines, terms of the payment process and risk allocation between SOLV and the customer for a fixed price. Our standard lump sum contracts establish our right to receive a change order from the customer should the actual conditions under which a project is built differ from the anticipated conditions on which the contract was based, such as unexpected site conditions, adverse weather impacts or delays caused by the customer. When a project requires changes to the scope of services in a lump sum contract, we charge amounts over and above the fixed price to compensate us for the change on either a fixed price or time and materials basis. We typically receive a mobilization payment from the customer when we begin work of between 3% to 5% of contract value, and we bill customers monthly for our services on a percentage-of-completion basis for the remainder of the contract. Our LNTP agreements typically include similar terms but generally apply to stages of work occurring early in the project timeline,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Our lump sum contracts include mutual insurance and indemnity obligations and generally contain liquidated damages provisions tied to a timeline for completion of the project. Although claims of liquidated damages may occasionally be asserted in the normal course of business they are infrequently agreed to and paid by us. Our LNTP agreements generally do not include liquidated damages provisions. We typically provide parent guarantees for our EPC contracts. In addition, some of our lump sum contracts require us to maintain surety bonds for the benefit of the customers during the construction. We maintain relationships with multiple surety bonding providers and have not historically had any difficulties obtaining bonding for our projects. </w:t>
      </w:r>
    </w:p>
    <w:p>
      <w:pPr>
        <w:pStyle w:val="TextBody"/>
        <w:bidi w:val="0"/>
        <w:spacing w:before="240" w:after="0"/>
        <w:jc w:val="left"/>
        <w:rPr>
          <w:rFonts w:ascii="Times New Roman" w:hAnsi="Times New Roman"/>
          <w:sz w:val="20"/>
        </w:rPr>
      </w:pPr>
      <w:r>
        <w:rPr>
          <w:rFonts w:ascii="Times New Roman" w:hAnsi="Times New Roman"/>
          <w:b/>
          <w:i/>
          <w:sz w:val="20"/>
        </w:rPr>
        <w:t>O&amp;M Services</w:t>
      </w:r>
      <w:r>
        <w:rPr>
          <w:rFonts w:ascii="Times New Roman" w:hAnsi="Times New Roman"/>
          <w:i/>
          <w:sz w:val="20"/>
        </w:rPr>
        <w:t>.</w:t>
      </w:r>
      <w:r>
        <w:rPr>
          <w:rFonts w:ascii="Times New Roman" w:hAnsi="Times New Roman"/>
          <w:sz w:val="20"/>
        </w:rPr>
        <w:t xml:space="preserve"> We typically provide O&amp;M services pursuant to contracts that obligate the customer to pay us a fixed fee for operations and routine preventative maintenance and additional fees for corrective maintenance on a time and materials basis. Our O&amp;M contracts typically have a minimum term of five years and renew automatically for successive one-year periods at the end of the initial term. If a customer terminates the contract prior to the end of the term, the customer typically must pay an early termination fee. Fees charged on a time and materials basis are based on our cost plus a mark-up and are due upon completion of the work. </w:t>
      </w:r>
    </w:p>
    <w:p>
      <w:pPr>
        <w:pStyle w:val="TextBody"/>
        <w:bidi w:val="0"/>
        <w:spacing w:before="240" w:after="0"/>
        <w:jc w:val="left"/>
        <w:rPr>
          <w:rFonts w:ascii="Times New Roman" w:hAnsi="Times New Roman"/>
          <w:sz w:val="20"/>
        </w:rPr>
      </w:pPr>
      <w:r>
        <w:rPr>
          <w:rFonts w:ascii="Times New Roman" w:hAnsi="Times New Roman"/>
          <w:sz w:val="20"/>
        </w:rPr>
        <w:t xml:space="preserve">Our O&amp;M contracts typically contain an annual cap on liability set at the amount of the annual service fees, and include an availability guaranty, with exclusions for items outside of the operator’s control, such as periods of force majeure impact, utility curtailment or scheduled maintenance. These contracts generally include an obligation to coordinate warranty maintenance as well as monthly and annual reporting requirements on performance, maintenance logs and incident tracking. Our O&amp;M contracts also include mutual insurance and indemnity obligations agreed to by both parties. Although claims of liquidated damages may occasionally be asserted under our O&amp;M contracts in the normal course of business, they are infrequently agreed to and paid by us. We may provide a parent guarantee for our O&amp;M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b/>
          <w:i/>
          <w:sz w:val="20"/>
        </w:rPr>
        <w:t>Employees.</w:t>
      </w:r>
      <w:r>
        <w:rPr>
          <w:rFonts w:ascii="Times New Roman" w:hAnsi="Times New Roman"/>
          <w:sz w:val="20"/>
        </w:rPr>
        <w:t xml:space="preserve"> As of December 31, 2025, we had approximately 2,600 full-time employees. We have 48 active collective bargaining agreements covering approximately 750 employees which are typically renewed every five years. We have not experienced and do not expect any significant grievances, strikes or work stoppages and believe our relations with employees covered by collective bargaining agreements are good. We are a licensed contractor in 40 states, have approximately 1,950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Retention and Training.</w:t>
      </w:r>
      <w:r>
        <w:rPr>
          <w:rFonts w:ascii="Times New Roman" w:hAnsi="Times New Roman"/>
          <w:sz w:val="20"/>
        </w:rPr>
        <w:t xml:space="preserve"> We are a people business that depends on attracting and retaining high quality employees to continue our growth, enable for greater control over project timelines, improve execution quality and consistency and ensure a high level of safety. Our long-tenured regional managers and general superintendents are assigned to a project in its early stages and stay with that project through its completion and are experts in the geographies and terrain where they work which we believe improves productivity and controls cost. Our scale improves our ability to develop our employees to serve in roles across multiple services within our organization which increases retention and provides our employees more opportunities for development. We source craft employees locally through our extensive relationships with unions and labor agencies in regions where we operate who comply with our exact hiring needs which often results in fully trained labor for our projects. </w:t>
      </w:r>
    </w:p>
    <w:p>
      <w:pPr>
        <w:pStyle w:val="TextBody"/>
        <w:bidi w:val="0"/>
        <w:spacing w:before="240" w:after="0"/>
        <w:jc w:val="left"/>
        <w:rPr>
          <w:rFonts w:ascii="Times New Roman" w:hAnsi="Times New Roman"/>
          <w:sz w:val="20"/>
        </w:rPr>
      </w:pPr>
      <w:r>
        <w:rPr>
          <w:rFonts w:ascii="Times New Roman" w:hAnsi="Times New Roman"/>
          <w:b/>
          <w:i/>
          <w:sz w:val="20"/>
        </w:rPr>
        <w:t xml:space="preserve">Safety. </w:t>
      </w:r>
      <w:r>
        <w:rPr>
          <w:rFonts w:ascii="Times New Roman" w:hAnsi="Times New Roman"/>
          <w:sz w:val="20"/>
        </w:rPr>
        <w:t xml:space="preserve">We have established a comprehensive safety program throughout our operations designed to comply with our internal safety standards as well as applicable federal, state and local laws and regulations. Our senior and operational leadership is fully engaged in protecting our workforce through a proactive program that prioritizes workforce training and third-party evaluation of our processes to drive continuous improvement. Our total recordable incident rate per one hundred employees per year was 0.48 during 2025. Our lost-time incident rate per one hundred employees per year was 0.19 during 2025. </w:t>
      </w:r>
    </w:p>
    <w:p>
      <w:pPr>
        <w:pStyle w:val="TextBody"/>
        <w:bidi w:val="0"/>
        <w:spacing w:before="240" w:after="0"/>
        <w:jc w:val="left"/>
        <w:rPr>
          <w:rFonts w:ascii="Times New Roman" w:hAnsi="Times New Roman"/>
          <w:sz w:val="20"/>
        </w:rPr>
      </w:pPr>
      <w:r>
        <w:rPr>
          <w:rFonts w:ascii="Times New Roman" w:hAnsi="Times New Roman"/>
          <w:b/>
          <w:i/>
          <w:sz w:val="20"/>
        </w:rPr>
        <w:t>Our Impact</w:t>
      </w:r>
      <w:r>
        <w:rPr>
          <w:rFonts w:ascii="Times New Roman" w:hAnsi="Times New Roman"/>
          <w:sz w:val="20"/>
        </w:rPr>
        <w:t xml:space="preserve">. We have a dedicated Impact Group that focuses on community engagement, government relations and Environmental, Social and Governance (“ESG”) initiatives. We prioritize the communities where we work and are committed to partnering with our customers and local stakeholders to maximize the social impact of our projects. We allocate resources and funds to support improvement programs in communities where our projects are located. Examples of our community improvement projects include educational programs on renewable energy, public school renovations and community center additions.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defined by our people, and we strive to create an inclusive environment that allows all our employees to do their part in making an impact in our communities. We are committed to (i) advocating for equity and accountability in our workforce and in our vendors; (ii) offering a company match for volunteer hours and funds donated to nonprofit organizations; and (iii) maintaining a leadership team, board of directors and employee-led committees and councils that are dedicated to supporting our impact initiatives. We are committed to regularly reporting on our impact initiatives to stakeholders through our annual impact and ESG progress report. </w:t>
      </w:r>
    </w:p>
    <w:p>
      <w:pPr>
        <w:pStyle w:val="TextBody"/>
        <w:bidi w:val="0"/>
        <w:spacing w:before="360" w:after="0"/>
        <w:jc w:val="left"/>
        <w:rPr>
          <w:rFonts w:ascii="Times New Roman" w:hAnsi="Times New Roman"/>
          <w:b/>
          <w:sz w:val="20"/>
        </w:rPr>
      </w:pPr>
      <w:r>
        <w:rPr>
          <w:rFonts w:ascii="Times New Roman" w:hAnsi="Times New Roman"/>
          <w:b/>
          <w:sz w:val="20"/>
        </w:rPr>
        <w:t xml:space="preserve">Tech-Enablement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in using technology to increase the efficiency of our operations, lower our costs, improve the quality and safety of our work and enhance our customer and employee experience. Key elements of tech-enablement that we currently employ in our businesses include: </w:t>
      </w:r>
    </w:p>
    <w:p>
      <w:pPr>
        <w:pStyle w:val="TextBody"/>
        <w:bidi w:val="0"/>
        <w:spacing w:before="240" w:after="0"/>
        <w:jc w:val="left"/>
        <w:rPr>
          <w:rFonts w:ascii="Times New Roman" w:hAnsi="Times New Roman"/>
          <w:sz w:val="20"/>
        </w:rPr>
      </w:pPr>
      <w:r>
        <w:rPr>
          <w:rFonts w:ascii="Times New Roman" w:hAnsi="Times New Roman"/>
          <w:b/>
          <w:i/>
          <w:sz w:val="20"/>
        </w:rPr>
        <w:t>Proprietary Software Tools.</w:t>
      </w:r>
      <w:r>
        <w:rPr>
          <w:rFonts w:ascii="Times New Roman" w:hAnsi="Times New Roman"/>
          <w:sz w:val="20"/>
        </w:rPr>
        <w:t xml:space="preserve"> We have developed two proprietary software tools, Sunscreen and Vitals, that we use in our operations. Sunscreen is a project management platform that we use to manage the delivery of our EPC services, which provides near real-time information to keep the client and site team connected and informed. Sunscreen tracks construction activities, captures daily work logs and inspections, maintains quality assurance and quality control checklists, Stormwater Pollution Prevention Plan (“SWPPP”) compliance and safety. Sunscreen allows major project installation steps to be tracked online with near real-time progress updates. Our safety program also runs on Sunscreen, providing analytics and feedback to project teams to continue to support safe working environments. We believe Sunscreen improves our productivity because it enables standardized data capture in the field which we can use to improve our processes and procedures. Vitals is our web-based power plant performance monitoring and reporting platform that allows our field services teams to assess system performance without slowing energy production. Our field service teams and operations center are integrated through Vitals, which allows us to dispatch resources as needed for power plant corrective maintenance.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Robotics.</w:t>
      </w:r>
      <w:r>
        <w:rPr>
          <w:rFonts w:ascii="Times New Roman" w:hAnsi="Times New Roman"/>
          <w:sz w:val="20"/>
        </w:rPr>
        <w:t xml:space="preserve"> We collaborate with robotics companies to enhance the installation process through the integration of innovative technology solutions. Over the last several years we have been working with robotics companies to observe and conduct trials of early stage human assist robotics, and our dedicated innovation team works closely with on-site project teams to plan for, deploy and provide feedback on potential robotic solutions. Robotic solutions we have piloted include automated installation of solar modules, assisted erection of torque tube and racking systems, and GPS-guided and remotely operated equipment. Together, these robotic solutions may help us to increase our installation capacity by reducing the labor required to install each MW of capacity, increasing our efficiency by saving time on installations, improving quality through automation and creating safer work environments for our project teams. </w:t>
      </w:r>
    </w:p>
    <w:p>
      <w:pPr>
        <w:pStyle w:val="TextBody"/>
        <w:bidi w:val="0"/>
        <w:spacing w:before="240" w:after="0"/>
        <w:jc w:val="left"/>
        <w:rPr>
          <w:rFonts w:ascii="Times New Roman" w:hAnsi="Times New Roman"/>
          <w:sz w:val="20"/>
        </w:rPr>
      </w:pPr>
      <w:r>
        <w:rPr>
          <w:rFonts w:ascii="Times New Roman" w:hAnsi="Times New Roman"/>
          <w:b/>
          <w:i/>
          <w:sz w:val="20"/>
        </w:rPr>
        <w:t>AI-Driven Data Analytics.</w:t>
      </w:r>
      <w:r>
        <w:rPr>
          <w:rFonts w:ascii="Times New Roman" w:hAnsi="Times New Roman"/>
          <w:sz w:val="20"/>
        </w:rPr>
        <w:t xml:space="preserve"> We are investing in the evaluation and implementation of data-driven solutions that help optimize resources and deliver projects faster without the cost of new equipment or major process changes. Our pilots include AI-powered construction progress monitoring using industrial drones, O&amp;M diagnostic chatbot utilizing field data and manufacturer information to identify equipment malfunctions and recommended standard operating procedures and workflow simulator to increase install efficiency.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For new construction services, we compete with both large, national companies that have significant financial and technical resources as well as with small, regional companies. Some of our national competitors include Kiewit, MasTec, McCarthy, Mortenson, Quanta Services and Primoris Services. </w:t>
      </w:r>
    </w:p>
    <w:p>
      <w:pPr>
        <w:pStyle w:val="TextBody"/>
        <w:bidi w:val="0"/>
        <w:spacing w:before="240" w:after="0"/>
        <w:jc w:val="left"/>
        <w:rPr>
          <w:rFonts w:ascii="Times New Roman" w:hAnsi="Times New Roman"/>
          <w:sz w:val="20"/>
        </w:rPr>
      </w:pPr>
      <w:r>
        <w:rPr>
          <w:rFonts w:ascii="Times New Roman" w:hAnsi="Times New Roman"/>
          <w:sz w:val="20"/>
        </w:rPr>
        <w:t xml:space="preserve">For existing infrastructure services, we compete with third-party providers of operations and maintenance services, including Act Power Services, NovaSource Power Services, Origis Energy Services, Pearce Services and QE Solar.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lifecycle approach of providing both EPC and O&amp;M services gives us a competitive advantage over our larger competitors who only provide EPC services, and our scale, expertise and financial resources give us a competitive advantage over our regional competitors. </w:t>
      </w:r>
    </w:p>
    <w:p>
      <w:pPr>
        <w:pStyle w:val="TextBody"/>
        <w:bidi w:val="0"/>
        <w:spacing w:before="360" w:after="0"/>
        <w:jc w:val="left"/>
        <w:rPr>
          <w:rFonts w:ascii="Times New Roman" w:hAnsi="Times New Roman"/>
          <w:b/>
          <w:sz w:val="20"/>
        </w:rPr>
      </w:pPr>
      <w:r>
        <w:rPr>
          <w:rFonts w:ascii="Times New Roman" w:hAnsi="Times New Roman"/>
          <w:b/>
          <w:sz w:val="20"/>
        </w:rPr>
        <w:t xml:space="preserve">Suppliers </w:t>
      </w:r>
    </w:p>
    <w:p>
      <w:pPr>
        <w:pStyle w:val="TextBody"/>
        <w:bidi w:val="0"/>
        <w:spacing w:before="120" w:after="0"/>
        <w:jc w:val="left"/>
        <w:rPr>
          <w:rFonts w:ascii="Times New Roman" w:hAnsi="Times New Roman"/>
          <w:sz w:val="20"/>
        </w:rPr>
      </w:pPr>
      <w:r>
        <w:rPr>
          <w:rFonts w:ascii="Times New Roman" w:hAnsi="Times New Roman"/>
          <w:sz w:val="20"/>
        </w:rPr>
        <w:t xml:space="preserve">Under our EPC contracts, we typically procure major categories of equipment for our customers’ power plants, including piles, trackers or fixed racking systems, inverters, EBOS and medium and high-voltage equipment, which are generally available from domestic or foreign suppliers at competitive prices. We have strong relationships with all tier-one equipment vendors, offering optionality and access to favorable terms and pricing. We work closely with our suppliers to drive product enhancements that improve efficiency during construction and increase power plant performance. Import tariffs on materials and components we procure internationally are generally passed through to our customers pursuant to change of law provisions in our contracts that provide for a contract price adjustment for changes in import duties. We also have a domestic sourcing strategy and relationships that enable us to offer fully domestically procured projects whenever necessary or preferred by our customers. We are not overly dependent on any single vendor or supplier of technologies or products and have multiple suppliers in key categories across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The construction industry is subject to seasonal variations. Demand for new construction and repowering is generally lower during the winter months due to reduced construction activity during inclement weather. Our revenues are generally higher in the second and third calendar quarters due to increased construction activity.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&amp; 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comprehensive schedule of insurance policies covering a broad range of exposures arising from our construction and general business operations, which require the use of heavy equipment and exposure to inherently hazardous conditions. We maintain insurance policies for, among other things, employer’s liability, workers’ compensation, auto liability, aviation, cyber, financial and general liability claims. We manage and maintain a portion of our risk through retentions and/or high deductibles. As a supplement to our high-deductible primary insurance, we maintain insurance with excess insurance carriers for potential losses that exceed the amount of our deductible obligations. We renew our insurance policies on an annual basis, and therefore deductibles and levels of insurance coverage may change in future periods. For additional information regarding our insurance and the risks associated with insurance coverage, see “Risk Factors—Risks Related to Our Business—Insurance and claims expenses, as well as the unavailability or cancelation of third-party insurance coverage,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Physical risks associated with climate change have also increased hazards associated with our operations, which in turn has increased the potential for liability and increased the costs associated with our operations. For example, severe weather events such as extreme cold weather, hail, hurricanes, heavy snowfall, fires and floods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 See “Risk Factors—Risks Related to Our Business—Our business and results of operations are subject to physical risks including those associated with climate change.”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Compliance with numerous regulations has a material effect on our operations. Our operations are subject to various federal, state and local laws and regulations,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licensing, permitting and inspection requirements applicable to contractors and engineers;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worker safety and health, including regulations established by the Occupational Safety and Health Administration and the Federal Mine Safety and Health Act of 1977,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environmental protection and climate change, including regulations established by the Environmental Protection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permitting and inspection requirements applicable to construction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wage and hour regulations (e.g., Fair Labor Standards Act) and regulations associated with our collective bargaining agreements and unionized workforce;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reliability standards, rules, requirements and guidelines (including NERC CIP standards) of NERC, the Federal Energy Regulatory Commission, the Electric Reliability Council of Texas, and the applicable utility involved on a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sourcing and transportation of equipment and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regarding engagement of suppliers and subcontractors that meet diversity-ownership or disadvantaged-business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building and electrical codes;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U.S. and non-U.S. anti-corruption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immigration regulations applicable to U.S. and cross-border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related to tax credits or tax abatement agreements sought by project owners;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and other cyber-related requirements that may be applicable on certain projects.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in compliance with all material licensing and regulatory requirements that are necessary to conduct our operations. Our failure to comply with applicable regulations could result in substantial fines or revocation of certain of our operating licenses, as well as give rise to termination or cancellation rights under our contracts or disqualify us from future bidding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numerous federal, state and local environmental laws and regulations governing our operations, including the handling, transportation and disposal of non-hazardous and hazardous substances and wastes, as well as emissions and other discharges into the environment, including discharges to air, surface water, groundwater and soil. We are also subject to laws and regulations that impose liability and cleanup responsibility for releases of hazardous substances into the environment. Any failure by us to control the use of, to remediate the presence of or to restrict adequately the discharge of such substances, materials or wastes, or to comply with applicable environmental laws and regulations could subject us to potentially significant liabilities, including clean-up costs, monetary damages and fines, revocation of certain licenses or permits or suspensions in our business operations, any of which could have a material adverse effect on our business, financial condition and results of operations. Moreover, new or amended laws and regulations, changes in the interpretation of existing laws and increased regulatory scrutiny could require us to incur significant costs or result in new or increased liabilities.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from time to time, we incur, and expect to continue to incur, costs and obligations to remain in compliance with applicable environmental laws and regulations, to correct environmental noncompliance matters and for remediation at or relating to our projects. We believe that we are in substantial compliance with our environmental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We or our customers benefit from certain government subsidies and economic incentives from time to time, including renewable energy tax credits, rebates and other incentives that support the development and adoption of clean energy solutions. For example, the Infrastructure Investment and Jobs Act (the “IIJA”) supports and encourages solar power and renewable energy projects through the provision of federal tax credits to promote investment in infrastructure and clean energy programs.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Inflation Reduction Act of 2022 (the “IRA”) introduced and extended several U.S. federal income tax credits to promote clean energy development. The IRA has driven significant investments in clean energy developments since its enactment and thereby increased demand from our customers for our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these government incentives may benefit our business, certain adverse actions, interpretations or determinations of new or existing laws or regulations could have a negative impact on our business. For example, some of the guidance and rulemaking enacted under the prior presidential administration could be changed or modified by the Trump Administration, as well as other federal government policy that has historically been favorable to clean energy and energy storage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Under the One Big Beautiful Bill Act (the “OBBBA”) which was signed into law on July 4, 2025, the clean electricity production credit (the “CEPC”) and the clean electricity investment credit (the “CEIC”) under Section 45Y and Section 48E of the U.S. Internal Revenue Code of 1986, as amended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U.S. Department of the Treasury (“Treasury”), among other things, to enforce the accelerated termination of the CEPC and CEIC for solar and wind projects. Following the executive order, Treasury and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People’s Republic of China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Collectively, these and other actions could have a material impact on future levels of investment in utility-scale solar projects. “See Risk Factors—Risks Related to Regulation and Compliance—The unavailability, reduction or elimination of government and economic incentives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in recent years, certain of our projects and certain customer spending in our industry has been negatively impacted by regulatory and permitting delays. Any tariffs, duties, taxes, assessments, or other limitations on the availability or sourcing of materials, equipment or components for our customers’ projects can also increase costs for customers and create variability of project timing. For example, regulatory, legislative or executive action with respect to regional and global trade relationships have impacted, and may impact in the future, the supply chain for certain critical components required for our customers’ projects (e.g., transformers, breakers and other key electrical components) and costs associated therewith. For further information regarding the effects of regulation on our business, see “Risk Factors—Risks Related to Regulation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Conversely, we believe that there are also several existing, pending or proposed legislative or regulatory actions that may alleviate certain regulatory and permitting issues and positively impact long-term demand, particularly in connection with solar power and renewable energy projects. For example,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changes aimed at reducing lengthy permitting processes could potentially result in accelerated project approvals, and an increase in focus on domestic energy production could create additional incentives for solar power and renewable energy projects. Additionally, certain legislation, such as the IIJA, as well as other policy and economic incentives and overall public sentiment, are designed to support and encourage solar power and renewable energy projects that can potentially increase demand for our services over the long term.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make our Annual Report on Form 10-K, Quarterly Reports on Form 10-Q, Current Reports on Form 8-K, and all amendments to these filings, available free of charge as soon as reasonably practicable after we electronically file such material with, or furnish it to, the SEC on our website at https://investors.solvenergy.com/financial-information/sec-filings or by contacting our Investor Relations department at our office address listed above.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bookmarkStart w:id="5" w:name="toc31834_2"/>
            <w:bookmarkEnd w:id="5"/>
            <w:r>
              <w:rPr>
                <w:b/>
              </w:rPr>
              <w:t>ITEM 1A.</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dependent on successfully constructing projects for our customers. Many of our projects involve challenging design, engineering, financing, permitting, interconnection, right of way acquisition, procurement, construction, operation and maintenance phases that occur over extended time periods, including sometimes over several years, and we have encountered and may in the future encounter project delays, additional costs or project performance issues as a result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meet project schedule requirements, achieve guaranteed performance or quality standards for a project or failure to comply with mandatory reliability standards set forth by the NERC, which can result in increased costs, through rework, replacement or otherwise, monetary penalties to NERC or the payment of liquidated damages to the customer or contract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accurately estimate project costs or accurately establish the scope of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make judgments in accordance with applicable professional standards (e.g., engineering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circumstances or project modifications not included in our cost estimates or covered by our contract for which we cannot obtain adequate compensation, including concealed or unknown environmental, geological or geographical site conditions or technical problems such as design or engineering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permitting, interconnection and regulatory requirements during the course of our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the delivery or management of design or engineering information, equipment or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 a customer’s failure to manage a project, including the inability to timely obtain land, permits or rights of way or meet other permitting, interconnection, regulatory or environmental requirements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project or customer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or emergencies, including wildfires and earthquakes, as well as significant weather events (e.g., hurricanes, tropical storms, tornadoes, floods, hail storms, droughts, blizzards and extreme temperatures) and adverse or unseasonable weather conditions (e.g., prolonged rainfall or snowfall or early thaw in the northern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 terrain and site conditions where delivery of materials and availability of labor are impacted or where there is exposure to harsh and hazardous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protests and other public activism, legal challenges or other political activity or opposition to a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such as terrorism, acts of war, including but not limited to conflicts in the Middle East, geopolitical conflicts, public health crises (e.g., pandemics or epidemics) and delays attributable to U.S. government shutdowns or any related under-staffing of government departments or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cost, availability, lead times or quality of equipment, commodities, materials, consumables or labor;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failure to perform by suppliers, subcontractors or other third parties, or our failure to coordinate performance of such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difficulties and delays are beyond our control and can negatively impact our ability to complete the project in accordance with the required delivery schedule, performance requirements or achieve our anticipated operating income margin on the project. Delays and additional costs associated with delays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w:t>
      </w:r>
    </w:p>
    <w:p>
      <w:pPr>
        <w:pStyle w:val="TextBody"/>
        <w:bidi w:val="0"/>
        <w:spacing w:before="240" w:after="0"/>
        <w:jc w:val="left"/>
        <w:rPr>
          <w:rFonts w:ascii="Times New Roman" w:hAnsi="Times New Roman"/>
          <w:sz w:val="20"/>
        </w:rPr>
      </w:pPr>
      <w:r>
        <w:rPr>
          <w:rFonts w:ascii="Times New Roman" w:hAnsi="Times New Roman"/>
          <w:sz w:val="20"/>
        </w:rPr>
        <w:t xml:space="preserve">We generate a significant portion of our revenues from lump sum contracts, pursuant to which our customer pays us a fixed amount regardless of the costs that we incur. The contracts for these projects often involve complex pricing, scope of services and other bid preparation components that require challenging estimates and assumptions on the part of our personnel far in advance of contract performance, which increases the risk that costs incurred on such projects can vary, sometimes substantially, from our original estimates.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certain of our EPC contracts we guarantee that we will complete a project by a scheduled date and sometimes provided that the project, when completed, will also achieve certain performance standards. If we fail to complete these projects on time or the equipment we design, furnish and/or install does not meet guaranteed performance standards, we may be liable to our customers for damages, which can be significant. Our O&amp;M services contracts also require us to meet certain minimum performance standards. If we fail to meet agreed project deadlines and/or meet guaranteed performance standards under our EPC contracts, or we fail to perform as required under our O&amp;M service contracts, we may be held responsible for costs incurred by the customer resulting from any delay or any modifications made in order to achieve the performance standards, generally in the form of contractually agreed-upon liquidated damages or obligations to re-perform substandard work. If we are required to pay such costs, the total costs of the project would likely exceed our original estimate, and we could experience reduced profits or a loss related to the applicable project or contract. In addition, such failures on our part could result in project delays, project cancelations, service contract cancelations or damage to our relationships with customers, as well as damage to our reputation, which can be exacerbated when difficulties arise on a high-profile project. As a result, additional costs or penalties, a reduction in our productivity or efficiency or a project termination in any given period could have a material adverse effect on our business, financial condition and results of operations, including our ability to secure new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results of operations, financial condition and other financial and operational disclosures are based upon estimates and assumptions that may differ from actual results or future outcomes. </w:t>
      </w:r>
    </w:p>
    <w:p>
      <w:pPr>
        <w:pStyle w:val="TextBody"/>
        <w:bidi w:val="0"/>
        <w:spacing w:before="120" w:after="0"/>
        <w:jc w:val="left"/>
        <w:rPr>
          <w:rFonts w:ascii="Times New Roman" w:hAnsi="Times New Roman"/>
          <w:sz w:val="20"/>
        </w:rPr>
      </w:pPr>
      <w:r>
        <w:rPr>
          <w:rFonts w:ascii="Times New Roman" w:hAnsi="Times New Roman"/>
          <w:sz w:val="20"/>
        </w:rPr>
        <w:t xml:space="preserve">In preparing our consolidated financial statements and financial and operational disclosures, estimates and assumptions are used by management to report, among other things, assets, liabilities, revenues and expenses. These estimates and assumptions are necessary because certain information utilized is dependent on future events, cannot be calculated with a high degree of precision from available data or cannot be readily calculated based on generally accepted methodologies. In some cases, these estimates are particularly difficult to determine, and we must exercise significant judgment, and as a result actual results and future outcomes can differ materially from the estimates and assumptions that we use and could have a material adverse effect on our business, financial condition and results of operations. For example, our remaining performance obligations and backlog are difficult to determine with certainty. Customers often have no obligation under our contracts to assign or release work to us, and many contracts may be terminated on short notice. Cancelation or reduction in scope of a contract can significantly reduce the revenues and profit we recognize. Consequently, our estimates of remaining performance obligations and backlog may not be accurate, and we may not be able to realize our estimated remaining performance obligations and backlog. </w:t>
      </w:r>
    </w:p>
    <w:p>
      <w:pPr>
        <w:pStyle w:val="TextBody"/>
        <w:bidi w:val="0"/>
        <w:spacing w:before="240" w:after="0"/>
        <w:jc w:val="left"/>
        <w:rPr>
          <w:rFonts w:ascii="Times New Roman" w:hAnsi="Times New Roman"/>
          <w:sz w:val="20"/>
        </w:rPr>
      </w:pPr>
      <w:r>
        <w:rPr>
          <w:rFonts w:ascii="Times New Roman" w:hAnsi="Times New Roman"/>
          <w:sz w:val="20"/>
        </w:rPr>
        <w:t xml:space="preserve">Impairments to goodwill, other intangible assets, and long-lived assets, the values of which are dependent upon certain estimates and assumptions, could also have a material adverse effect on our results of operations. We record goodwill when we acquire a business, which must be tested at least annually for impairment. Any future impairments could have a material adverse effect on our results of operations for the period in which the impairment is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estimates related to revenues and costs associated with our contracts with customers could result in a reduction or elimination of revenues, a reduction of profits or the recognition of losses. </w:t>
      </w:r>
    </w:p>
    <w:p>
      <w:pPr>
        <w:pStyle w:val="TextBody"/>
        <w:bidi w:val="0"/>
        <w:spacing w:before="120" w:after="0"/>
        <w:jc w:val="left"/>
        <w:rPr>
          <w:rFonts w:ascii="Times New Roman" w:hAnsi="Times New Roman"/>
          <w:sz w:val="20"/>
        </w:rPr>
      </w:pPr>
      <w:r>
        <w:rPr>
          <w:rFonts w:ascii="Times New Roman" w:hAnsi="Times New Roman"/>
          <w:sz w:val="20"/>
        </w:rPr>
        <w:t>For lump sum contracts, we recognize revenue as performance obligations that are satisfied over time, and earnings or losses recognized on individual contracts are based on estimates of contract revenues, costs and profitability as discussed in Note 5—</w:t>
      </w:r>
      <w:r>
        <w:rPr>
          <w:rFonts w:ascii="Times New Roman" w:hAnsi="Times New Roman"/>
          <w:i/>
          <w:sz w:val="20"/>
        </w:rPr>
        <w:t>Revenue from Contracts with Customers</w:t>
      </w:r>
      <w:r>
        <w:rPr>
          <w:rFonts w:ascii="Times New Roman" w:hAnsi="Times New Roman"/>
          <w:sz w:val="20"/>
        </w:rPr>
        <w:t xml:space="preserve"> in the notes to the audited consolidated financial statements in “Item 8. Financial Statements and Supplementary Data.” Changes in contract estimates are recognized on a cumulative catch-up basis in the period in which the revisions to the estimates are made, and contract losses are recognized in full in the period in which they become evident. Variable consideration amounts, including, among other things, unexecuted change orders and liquidated damages penalties, may also cause changes in contract estimates. In addition, we recognize amounts associated with change orders and/or claims as revenue when it is probable that a significant reversal in the amount of cumulative revenue recognized will not occur or when the uncertainty associated with the variable consideration is resolved. Actual amounts collected in connection with change orders and claims have in the past and may in the future differ from estimated amounts. Consequently, the timing for recognition of revenues and profit or loss and any subsequent changes in estimates is uncertain and could result in a reduction or an elimination of previously reported revenues or profits or the recognition of losses on the associated contract. Any such adjustments could be significant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Backlog may not be realized or may not result in profits and may not accurately represent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Backlog is difficult to determine accurately and is not a comprehensive indicator of future revenue amounts or timing, and companies within our industry may define backlog differently. Reductions in backlog due to project or contract cancelation, termination or scope adjustment by a customer or for other reasons could significantly reduce the revenue and profit we actually receive from contracts in backlog. In the event of a project cancelation,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that our estimates of backlog will accurately reflect future revenue. See “Item 7. Management’s Discussion and Analysis of Financial Condition and Results of Operations” for a discussion on how we calculate backlog for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imposition of additional duties and tariffs and other trade barriers and retaliatory countermeasures implemented by the U.S. and other governments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Recently there have been significant changes to U.S. trade policies, sanctions, legislation, treaties and tariffs, including, but not limited to, trade policies and tariffs affecting products from outside of the U.S. For example, in 2025 and 2026, the U.S. presidential administration announced significant new tariffs on foreign imports into the U.S., including from China, Mexico, Canada, Europe and certain Southeast Asian countries,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and the availability and cost of alternative sources of supplies. Any new or additional tariffs on goods imported to the U.S. from China, Mexico, Canada, Southeast Asian or other countries, or products imported into the European Union or other non-U.S. markets, could also increase the cost of some of our services and reduce our margins. In response to the tariffs, we may seek to increase prices to our customers, which may diminish demand for our services and could have a material adverse effect on our business, financial condition and results of operations. Other countries where we or our suppliers, subcontractors or manufacturers source materials and goods used in connection with our business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may vary significantly from quarter to quarter.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seasonality and other factors that can result in significantly different results of operations from quarter to quarter, and therefore our results in any particular quarter may not be indicative of future results. Our quarterly results have been and may in the future be materially and adversely affected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volume of work we perform and our performance with respect to ongoing projects and services, including, for example, as a result of changes in customer priorities and the availability of tax credits, delays and reductions in scope of projects, project and agreement terminations, expirations or cancelations, and availability of critical equipment and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project costs that result from, among other things, natural disasters and emergencies, adverse weather conditions or events, legal challenges, permitting, interconnection delays, regulatory or environmental processes, tariffs, delays or damage of material, labor productivity and availability, or inaccurate project cost estimates;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size, scope, costs and operating income margins of ongoing projects, as well as the mix of our customers, contracts and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(e.g., wildfires, weather-related events or pandemics); deterioration of global or specific trade relationships; or acts of war, including but not limited to conflicts in the Middle East, geopolitical conflicts and political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regulation or government policy that causes our customers to delay, change or abandon their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pressures as a result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budgetary spending patterns or strategic plans of customers or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supply chain and other logistical difficulties, as well as sourcing restrictions on materials necessary for the services we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and costs incurred in our operations that are not covered by, or that are in excess of, our third-party insurance or indemnification rights, including significant liabilities that can arise from hazards at our customers’ sites (e.g., explosions or fires), and which could be exacerbated by the geographies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customers or delays and payment risk relating to billing and payment under our contracts and change orders, including as a result of customers that encounter financial difficulties, are insolvent or have filed for bankruptcy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 of, or unexpected or increased costs associated with, pending or threatened legal proceedings, indemnity obligations, multiemployer pension plan obligations (e.g., withdrawal liability) or other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severance and other costs associated with, among other things, winding down certain operations and exiting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and assumptions in determining our financial results, remaining performance obligations and backlog, including the timing and significance of impairments of goodwill and other long-lived assets, including intangible assets, equity or other investments, and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tax impacts related to changes in tax laws or uncertain tax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magnitude of costs we incur to support our operations or growth internally or through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engineering quality or installation errors, resulting in rework and serial defect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accidents and injuries resulting in delays, increased costs, reputational damage and loss of future work.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above-listed factors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reduction, elimination or expiration of government incentives for, or regulations mandating the use of, renewable energy and battery storage specifically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Federal and certain state and local government bodies provide incentives to owners, end-users and manufacturers designed to promote the use of renewable energy and battery storage primarily in the form of tax credits. Consequently, the attractiveness of solar energy and battery storage projects depends in part on the availability of certain government incentives. We derive our revenues primarily from providing EPC and O&amp;M services to solar energy and battery storage projects. The reduction, elimination or expiration of these incentives, including tax credits for solar and battery storage projects or renewable portfolio standards may negatively affect the competitiveness of solar electricity relative to conventional and non-solar renewable sources of electricity which could reduce the number of new solar and battery storage projects and, consequently, reduce demand for our services, which could have a material adverse effect on our business, financial condition and results of operations. For example, see “—The unavailability, reduction or elimination of government and economic incentives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on suppliers and equipment manufacturers to obtain necessary materials and equipment and subcontractors to perform portions of our services, and our customers rely on suppliers for materials necessary for the construction, maintenance, repair and upgrading of their projects. Limitations on the availability of suppliers, subcontractors or equipment manufacturers could negatively impact our or our customers’ operations, particularly in the event we or our customers rely on a single or small number of providers. We are also exposed to price increases for materials that are utilized in connection with our operations, including, among other things, copper, steel, aluminum and equipment (e.g., transformers, inverters and trackers). Prices and availability of materials, suppliers and manufacturers could be materially impacted by, among other things, supply chain and other logistical challenges (including the inability of manufacturers to timely meet demand), global trade relationships (e.g., tariffs, duties, taxes, assessments or sourcing restrictions) and other general market and geopolitical conditions (e.g., inflation, market volatility, increased interest rates and acts of war and other geopolitical conflicts, including but not limited to conflicts in the Middle East). For example, the availability of power transformers utilized in electric power plants has been negatively impacted by the inability of manufacturers to meet current market demand, which has increased and is expected to continue to increase. If the supply of power transformers and other critical equipment is unable to meet the demand for such equipment, prices and lead times may continue to increase which could put upward pressure on our costs and adversely affect our profitability. In addition, customers in certain U.S. states, in order to receive certain funding or for other reasons, may expect or compel us to engage a specified percentage of services from suppliers or subcontractors that meet local or diversity-ownership requirements, which can further limit our pool of available suppliers and subcontractors and limit our ability to secure contracts, maintain our services or grow in those areas. Such laws, regulations and policies relating to diversity programs are rapidly evolving, and we may face changing or conflicting regulations or requirements related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successful completion of our contracts can depend on whether our subcontractors successfully fulfill their contractual obligations. If our subcontractors fail to perform their contractual obligations (including making payments to their subcontractors and suppliers), fail to meet the expected completion dates or quality or safety standards or fail to comply with applicable laws, such shortcomings may subject us to claims or require us to incur additional costs or provide additional services to mitigate such shortcomings. Regulatory or contractual requirements that require us to outsource a percentage of services to subcontractors also limit our ability to self-perform our services, thereby potentially increasing performance risk associated with our services. Furthermore, services subcontracted to other service providers generally yield lower margins, and therefore these regulatory requirements can impact our profitability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also increasing expectations in various jurisdictions that companies diligence and monitor the environmental and social performance of their value chain, including compliance with a variety of labor practices, as well as consider a wider range of potential environmental and social matters. Compliance can be costly, require us to establish or augment programs to diligence or monitor our suppliers, or potentially design supply chains to avoid certain regions altogether, and, in addition, there may also be retaliation against companies that are perceived as boycotting products manufactured or sourced in certain regions, such as Xinjiang, China. Failure to comply with such regulations can result in fines, contractual penalties, reputational damage, denial of import for materials for our projects, or otherwise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labor-intensive, and we may be unable to attract and retain qualified employees or we may incur significant costs in the event we are unable to efficiently manage our workforce or the cost of labor increases.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perform our services and grow our business requires hiring, training and retaining the necessary skilled personnel, which is subject to a number of risks. The demand for labor in our industry has continued to increase in response to growing demand for infrastructure services in the United States. The pool of skilled workers available in our industry has also declined, and may further decline, due primarily to an aging workforce and fewer new workers entering into the trades and professions that are required for our business, especially with respect to experienced program managers and qualified engineers, electricians and craft workers. The seasonal nature of our industry can also create shortages of qualified labor during periods of high demand, and the amount of travel required for project management-level positions can impact the number of qualified potential candidates that decide to enter our industry. A shortage in the supply of personnel creates competitive hiring markets that may result in increased labor expenses, and we have incurred, and expect to continue to incur, significant recruiting and training expenses in order to recruit and train employees. The uncertainty of contract award timing and project delays can also present difficulties in managing our workforce size. Additionally, we may not be able to attract and retain the necessary skilled personnel for our expanding service offerings. Our inability to efficiently manage our workforce may require us to incur costs resulting from excess staff, reductions in staff, or redundancies that could have a material adverse effect on our business, financial condition and results of operations. Also, we may trigger indemnification obligations to our customers if, on projects where we have agreed to comply with certain prevailing wage and apprenticeship standards or domestic content standards, we fail to do so and this causes our customers to lose bonus federal tax credits under the IRA.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recent inflationary pressure in the U.S. and our other markets has increased our labor costs. Under certain of our contracts, labor costs are passed through to customers, and the portion of our workforce that is represented by labor unions typically operates under multi-year collective bargaining agreements that provide some visibility into future labor costs prior to the expiration and renegotiation of such contracts. However, the costs related to a significant amount of our workforce are subject to market conditions, and therefore inflationary pressure could increase our labor costs with respect to those employees. Increased labor costs can also impact our customers’ decision-making with respect to viability or timing of certain projects, which could result in project delays or cancelations and in turn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or reduction in business from, certain significant customers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few customers have in the past and may in the future account for a significant portion of our revenues. For example, our 10 largest customers accounted for approximately 73% of our consolidated revenues as of December 31, 2025. Although we have longstanding relationships with many of our significant customers, a significant customer may unilaterally reduce or discontinue business with us at any time or merge or be acquired by a company that decides to reduce or discontinue business with us. A significant customer may also encounter financial constraints, based on cost of capital or other reasons, file for bankruptcy protection or cease operations, any of which could also result in reduced or discontinued business with us. The loss of business from a significant customer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Many of our contracts may be canceled or suspended on short notice or may not be renewed upon completion or expiration, and we may be unsuccessful in replacing our contracts,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have in the past and may in the future cancel, suspend, delay or reduce the number or size of projects available to us for a variety of reasons, including capital constraints, changing market conditions or an inability to meet regulatory requirements. Furthermore, many of our customers may cancel or suspend our contracts for convenience on short notice even if we are not in default under the contract. Additionally, the in-house service organizations of our existing or prospective customers are capable of performing, or acquiring businesses that perform, the same types of services we provide, and these customers may also face pressure or be compelled by regulatory or other requirements to self-perform an increasing amount of the services we currently perform for them, thereby reducing the services they outsource to us in the future. While our customers are obligated to compensate us for work completed prior to the cancelation of any contract, if our customers cancel or suspend contracts having significant value or we fail to renew or replace a significant number of our existing contracts when they expire or are completed, the actual revenue received on such projects prior to such cancelation, suspension, completion or expiration, if any, may be significantly less than the revenue reflected in our backlog estimates. As a result, we may fail to realize all amounts in our backlog,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adequately recover on contract modifications against project owners for payment or performance,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brought, and may in the future bring, claims against our customers. We periodically present contract modifications to our customers for changes in contract specifications or requirements, as a result of added scope under such contracts, or for events outside our control which have impacted the cost or time to perform our obligations under the contracts. We consider unapproved change orders to be contract modifications for which customers have not yet agreed to both scope and price. We consider claims to be contract modifications which have been denied by our customers, and for which we seek, or will seek, to collect from such customers. These types of claims occur due to, among other things, impacts to projects as a result of factors not within our control, such as natural disasters, unforeseen site conditions, significant weather events and public health events (e.g., pandemics), delays caused by customers and third parties and changes in project scope, which can result in delays and/or additional costs that may not be recovered until the claim is resolved. While we generally negotiate with the customer for additional compensation, we may be unable to obtain, through negotiation, arbitration, litigation or otherwise, adequate amounts to compensate us for the additional work or expenses incurred. Litigation, arbitration or government approval (if needed) with respect to these matters is generally lengthy and costly, involves significant uncertainty as to timing and amount of any resolution, and can adversely affect our relationships with existing or potential customers. Furthermore, we could be required to invest significant working capital to fund cost overruns while the resolution of a claim is pending. Failure to obtain adequate and prompt compensation for these matters can result in a reduction of revenues and gross profit recognized in prior periods or the recognition of a loss. Any such reduction or loss can be substantial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nature of our business exposes us to potential liability for warranty, engineering and other related claims. </w:t>
      </w:r>
    </w:p>
    <w:p>
      <w:pPr>
        <w:pStyle w:val="TextBody"/>
        <w:bidi w:val="0"/>
        <w:spacing w:before="120" w:after="0"/>
        <w:jc w:val="left"/>
        <w:rPr>
          <w:rFonts w:ascii="Times New Roman" w:hAnsi="Times New Roman"/>
          <w:sz w:val="20"/>
        </w:rPr>
      </w:pPr>
      <w:r>
        <w:rPr>
          <w:rFonts w:ascii="Times New Roman" w:hAnsi="Times New Roman"/>
          <w:sz w:val="20"/>
        </w:rPr>
        <w:t xml:space="preserve">We typically provide contractual warranties for our services and materials, guaranteeing the work performed against, among other things, defects in workmanship, and we may agree to indemnify our customers for losses related to our services. The lengths of these warranty periods varies and can extend for several years. Certain projects can have longer warranty periods and include facility performance warranties that are broader than the warranties we generally provide. Warranties generally require us to re-perform the services and/or repair or replace the warranted item and any other facilities impacted thereby, at our sole expense, and we could also be responsible for other damages if we are not able to adequately satisfy our warranty obligations. In addition, we can be required under contractual arrangements with our customers to warrant any defects or failures in materials we provide. While we generally require materials and equipment suppliers to provide us warranties that are consistent with those we provide customers, if any of these suppliers default on their warranty obligations to us, we may incur costs to repair or replace the defective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our business involves professional judgments regarding the planning, design, development, construction, operations and management of solar power and renewable generation projects. Because our projects are often technically complex, our failure to make judgments and recommendations in accordance with applicable professional standards, including engineering standards, could result in damages. A significantly adverse or catastrophic event at a project site or completed power plant resulting from the services we performed could result in significant professional or product liability, personal injury (including claims for loss of life) or property damage claims or other claims against us, as well as reputational harm. These liabilities could exceed our insurance limits or impact our ability to obtain third-party insurance in the future, and customers, subcontractors or suppliers who have agreed to indemnify us against any such liabilities or losses might refuse or be unable to pay us. As a result, warranty, engineering and other related claims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ordinary course of our business, we are subject to lawsuits, claims and other legal proceedings, as well as bonding claims and related reimbursement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been, and may in the future be, named as a defendant in lawsuits, claims and other legal proceedings that arise in the ordinary course of our business. These actions may seek, among other things, compensation for alleged personal injury (including claims for loss of life), workers’ compensation, employment discrimination, sexual harassment, workplace misconduct, wage and hour claims and other employment-related damages, compensation for breach of contract, negligence or gross negligence or property damage, environmental liabilities, multiemployer pension plan withdrawal liabilities, punitive damages, consequential damages, and civil penalties or other losses or injunctive or declaratory relief, as well as interest and attorneys’ fees associated with such claims. Furthermore, given our recent growth, we have become a more attractive target for lawsuits by various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also generally indemnify our customers for claims related to the services we provide and actions we take under our contracts, and, in some instances, we are allocated risk through our contract terms for actions by our customers, subcontractors or other third parties. Because our services in certain instances can be integral to the operation and performance of our customers’ infrastructure, we have been and may become subject to lawsuits or claims for any failure of the systems that we work on or damages caused by accidents and events related to such systems, even if our services are not the cause of such failures and damages. We could also be subject to civil and criminal liabilities, which could be material. Insurance coverage may not be available or may be insufficient for these lawsuits, claims or legal proceedings. The outcome of any allegations, lawsuits, claims or legal proceedings, as well as any public reaction thereto, is inherently uncertain and could result in significant costs, damage to our brands or reputation and diversion of management’s attention from our business. Payments of significant amounts, even if reserved,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customers, particularly in connection with new construction, may require us to post performance and payment bonds. These bonds provide a guarantee that we will perform under the terms of a contract and pay our subcontractors and vendors. If we fail to perform, the customer may demand that the surety make payments or provide services under the bond, and we must reimburse the surety for any expenses or outlays it incurs. To the extent reimbursements are required, the amounts could be material and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can incur liabilities or suffer negative financial or reputational impacts relating to health and safety matters.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inherently hazardous and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Although we have taken precautions designed to mitigate this risk, we have suffered serious accidents in connection with our operations, and we anticipate that our operations may result in additional serious accidents in the future. As a result of these events, we could be subject to substantial penalties, revocation of operating licenses, criminal prosecution or civil litigation, including claims for bodily injury or loss of life, that could result in substantial costs and liabilities. In addition, if our safety record were to substantially deteriorate or we were to suffer substantial penalties or criminal prosecution for violation of health and safety regulations, our customers could cancel our contracts and elect to procure future services from other providers. Unsafe work sites also have the potential to increase employee turnover, increase the costs of projects for our customers, and raise our operating costs.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on information technology systems to manage our operations and other business processes and to protect sensitive company information. We also collect and retain information about our customers, stockholders, vendors, employees, contractors, business partners and other parties, all of whom expect that we will adequately protect such information. We face numerous and evolving cybersecurity risks that threaten the confidentiality, integrity and availability of our information technology systems and confidential information as well as the systems and information of key third parties and information technology vendors upon whom we rely,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including malicious code embedded in open-source software, or misconfigurations, “bugs” or other vulnerabilities in commercial software that is integrated into our or our key third parties and information technology vendors upon whom we rely. Additionally, any integration of AI in our or our information technology vendors’ operations, products or services is expected to pose new or unknown cybersecurity risks and challenges. Furthermore, the energy infrastructure systems on which we work are strategic targets that are at greater risk of cyber-attacks or acts of terrorism than other targets. Our operations are decentralized with operating companies maintaining some of their own information systems, data and service providers. While our cybersecurity risk management program and processes, including policies, controls and procedures, are designed to cover our operating companies, there can be no assurance that these will be fully implemented, complied with or effective in protecting all information systems and operations. In addition, as a NERC-registered entity, we are subject to periodic audits by an independent auditor of our compliance with operations and critical infrastructure protection standards. Although we maintain a robust 693 and NERC CIP compliance program pursuant to NERC requirements, if we fail to comply with NERC CIP standards we could be subject to sanctions, including substantial monetary penalties and increased compliance obligations, any one of which could have a material adverse effect on our business, financial condition and results of operations. While we have security measures and technology in place to protect our and our customers’ confidential or proprietary company information, there can be no assurance that our efforts will prevent all threats to our systems and information. Moreover, we have acquired and continue to acquire companies which may have cybersecurity vulnerabilities and/or unsophisticated security measures, which may expose us to significant cybersecurity, operational, and financial risks until such companies are fully integrated into our information systems and an intrusion into the information systems of a business we acquire may also ultimately compromise our systems. Additionally, while we maintain appropriate policies and procedures to minimize the cybersecurity risks associated with the use of remote working arrangements by employees, vendors, and other third parties, such arrangements may nonetheless present increased exposure to possible attacks, thereby increasing the risk of a data security compromise.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date we have not experienced any cyber-attacks, breaches or disruptions of our information systems resulting in any material impact to our business; however, the ultimate impact of future and similar events remains unknown, and we expect additional vulnerabilities to arise. Any adverse impact to the confidentiality, integrity and availability of our information technology systems and confidential information, including security breaches and cyber-attacks, whether at our Company, our suppliers and vendors or other third parties, could expose us to loss, unauthorized release or disclosure of customer, employee or Company confidential information, litigation (such as class actions),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An attack could also cause material service disruptions to our internal systems or, in extreme circumstances, infiltration into, damage to or loss of control of our customers’ energy infrastructure systems. Any such breach or disruption could subject us to material liabilities, cause damage to our reputation or customer relationships, or result in regulatory investigations or other actions by governmental authorities,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may incur additional costs related to the investigation and reporting of any such breach or disruption. Additionally, because the techniques used to obtain unauthorized access or sabotage information technology systems change frequently and are generally not identifiable until they are launched against a target, we are unable to anticipate all attacker techniques or to implement comprehensive preventative measures, particularly because threat actors are increasingly using tools, including AI, that are designed to circumvent controls and evade detection. As a result, we may be required to expend significant resources to protect against the threat of system disruptions and security breaches or to alleviate problems caused by these disruptions and breaches. Furthermore, we cannot guarantee that any costs and liabilities incurred in relation to an attack or incident will be covered by our existing insurance policies or that applicable insurance will be available to us in the future on economically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deterioration in the quality or reputation of our brands, which can be exacerbated by the effect of social media or significant media coverage,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brands and our reputation are among our most important assets, and our ability to attract and retain customers, as well as qualified employees, depends on brand recognition and reputation. Such dependence makes our business susceptible to reputational damage and to competition from other companies. A variety of events could result in damage to our reputation or brands, some of which are outside of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that adversely affect our business such as a crime, scandal, cyber-related incident, litigation or other negative publicity;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perform, or negative publicity related to, a high-profile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potential involvement in a catastrophic fire, explosion, mechanical failure of infrastructure or similar event;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perceived responsibility for a serious accident or injury.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Increased media coverage and interest in energy transition matters and our industry, along with the intensification of media coverage generally, including through the considerable expansion in the use of social media, have increased the volume and speed at which negative publicity arising from these events can be generated and spread, and we may be unable to timely respond to, correct any inaccuracies in, or adequately address negative perceptions arising from such media coverage. In addition, negative publicity relating to certain projects may result in increased regulatory scrutiny, adverse rulings or regulatory actions. If the reputation or perceived quality of our brands decline, customers lose confidence in us or we are unable to attract or retain qualified employees, such outcomes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or our inability to attract or keep, key personnel could disrupt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depend on the continued efforts of our senior management team and key technical personnel. We also depend on our ability to attract key operational, professional and technical personnel as we grow our business and in order to establish and maintain an effective succession planning process. A shortage of these employees for various reasons, including intense competition for highly skilled individuals with technical expertise, labor shortages, increased labor costs and the preference of some candidates to work remotely, could jeopardize our ability to successfully manage our decentralized operations or our ability to grow and expand our business. The loss of key personnel, as well as our inability to attract, develop and retain qualified employees could negatively impact our ability to manage our business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successfully execute our acquisition strategy may have an adverse impact on our growth. </w:t>
      </w:r>
    </w:p>
    <w:p>
      <w:pPr>
        <w:pStyle w:val="TextBody"/>
        <w:bidi w:val="0"/>
        <w:spacing w:before="120" w:after="0"/>
        <w:jc w:val="left"/>
        <w:rPr>
          <w:rFonts w:ascii="Times New Roman" w:hAnsi="Times New Roman"/>
          <w:sz w:val="20"/>
        </w:rPr>
      </w:pPr>
      <w:r>
        <w:rPr>
          <w:rFonts w:ascii="Times New Roman" w:hAnsi="Times New Roman"/>
          <w:sz w:val="20"/>
        </w:rPr>
        <w:t xml:space="preserve">Our business strategy includes expanding our presence in the industry we serve and adjacent industries through strategic acquisitions of companies that complement or enhance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further limit our acquisition opportunities or raise the prices of acquisitions and make them less accretive, or possibly not accretive, to us. Furthermore, the increased antitrust scrutiny of and compliance requirements for potential acquisitions, including by the Federal Trade Commission (“FTC”) and Department of Justice under the Hart-Scott Rodino Act, the Sherman Act, the Clayton Act (each as amended) or other applicable laws, could negatively impact the cost and timing of or our ability to complete certain potential acquisitions. Failure to consummate future acquisitions could negatively affect our growth strategies.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past acquisitions have involved, and our future acquisitions may involve, significant cash expenditures or stock issuances, the incurrence or assumption of debt and other known and unknown liabilities and exposure to burdensome regulatory requirements. We may also discover previously unknown liabilities or, due to market conditions, be required pursuant to specific transaction terms to assume certain prior known liabilities associated with an acquired business, and we may have inadequate or no recourse under applicable indemnification provisions or representation and warranty insurance coverage (due to policy terms or lack of coverage at rates we believe are reasonable). Known liabilities may also change over time and become more severe than previously anticipated. As a result, past or future acquisitions may ultimately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acquisition strategy also depends on our ability to successfully conduct diligence and integrate the operations of the acquired businesses with our existing operations and realize the anticipated benefits from the acquired businesses, such as the expansion of our existing operations, expansion into new, complementary or adjacent business lines, elimination of redundant costs and capitalizing on cross-selling opportunities. Our ability to integrate and realize benefits can be negatively impacted by, among other things: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adequately perform necessary diligence on prospective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an acquired business to achieve the results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our management’s attention from operational and other matters or other potential disruptions to our existing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incorporating the operations and personnel, or inability to retain key personnel, of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complexities and difficulties associated with managing our business as it grows and evolves;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financial reporting and accounting challenges associated with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events or liabilities associated with the operations of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business due to customer overlap or other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liabilities arising from the prior operations of an acquired business, such as performance, operational, safety, cybersecurity, environmental, workforce or other compliance or tax issues, some of which we may not have discovered or accurately estimated during our due diligence and may not be covered by indemnification obligations or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be sure that we will be able to successfully complete the integration process without substantial costs, delays, disruptions or other operational or financial problems. Failure to successfully integrate acquired businesses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also generally require that key management and former principals of the businesses we acquire agree to non-compete covenants in the purchase agreement or, as applicable, employment agreements. Enforceability of these non-competition agreements varies by jurisdiction and typically is dependent upon specific facts and circumstances, making it difficult to predict their enforceability. Additionally, the Federal Trade Commission (“FTC”) has adopted new rules to, among other things, prohibit and make unenforceable any post-employment non-compete arrangement that restricts an employee or individual independent contractor, unless such arrangement was entered into in connection with an acquisition and meets certain conditions. While these rules have been challenged judicially and their implementation has been stayed, if the rules are ultimately upheld, we might be subject to increased competition if the restrictive covenants entered into by key management personnel of acquired businesses are not enforceable or have expired,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compete for projects if we are not able to obtain surety bonds, letters of credit or bank guarantees.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business depends on our ability to provide surety bonds, letters of credit, bank guarantees or other financial assurances, including parent guarantees.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or finding more business that does not require bonds or that allows for other forms of collateral for project performance, such as cash. We may be unable to secure these alternatives in a timely manner, on acceptable terms, or at all, which could affect our ability to bid for or work on future projects requiring financial assurances and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standard terms in the surety market, sureties issue or continue bonds on a project-by-project basis and can decline to issue bonds at any time or require the posting of additional collateral as a condition to issuing or renewing bonds. If we were to experience an interruption or reduction in the availability of bonding capacity as a result of these or other reasons, we may be unable to compete for or work on certain projects that require bonding. </w:t>
      </w:r>
    </w:p>
    <w:p>
      <w:pPr>
        <w:pStyle w:val="TextBody"/>
        <w:bidi w:val="0"/>
        <w:spacing w:before="240" w:after="0"/>
        <w:jc w:val="left"/>
        <w:rPr>
          <w:rFonts w:ascii="Times New Roman" w:hAnsi="Times New Roman"/>
          <w:sz w:val="20"/>
        </w:rPr>
      </w:pPr>
      <w:r>
        <w:rPr>
          <w:rFonts w:ascii="Times New Roman" w:hAnsi="Times New Roman"/>
          <w:sz w:val="20"/>
        </w:rPr>
        <w:t xml:space="preserve">Additionally, from time to time, we may be required to provide parent guarantees of certain obligations and liabilities of our subsidiaries that may arise in connection with, among other things, contracts with customers, equipment lease obligations and contractor licenses. These guarantees may cover all of the subsidiary’s unperformed, undischarged and unreleased obligations and liabilities under or in connection with the relevant agreement. For example, with respect to customer contracts, a parent guarantee may cover a variety of obligations and liabilities arising during the ordinary course of the subsidiary’s business or operations, including, among other things, warranty and breach of contract claims, third party and environmental liabilities arising from the subsidiary’s work and for which it is responsible, liquidated damages, or indemnity claims. To the extent a subsidiary incurs an obligation or liability that we have guaranteed, the recovery by a customer or other counterparty or a third party will not be limited to the assets of the subsidiary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generally paid in arrears for our services and may enter into other arrangements with certain of our customers, which could subject us to potential credit or investment risk and the risk of client defaults. </w:t>
      </w:r>
    </w:p>
    <w:p>
      <w:pPr>
        <w:pStyle w:val="TextBody"/>
        <w:bidi w:val="0"/>
        <w:spacing w:before="120" w:after="0"/>
        <w:jc w:val="left"/>
        <w:rPr>
          <w:rFonts w:ascii="Times New Roman" w:hAnsi="Times New Roman"/>
          <w:sz w:val="20"/>
        </w:rPr>
      </w:pPr>
      <w:r>
        <w:rPr>
          <w:rFonts w:ascii="Times New Roman" w:hAnsi="Times New Roman"/>
          <w:sz w:val="20"/>
        </w:rPr>
        <w:t xml:space="preserve">We are generally paid in arrears for our services and if we or our customers are unable to meet contractual requirements, we may experience delays in collection of and/or be unable to collect our client balances. While we take precautions against default on payment for these services (such as credit analysis and advance billing of clients), such precautions may fail to mitigate our exposure to clients’ credit risk, and we may experience significant uncollectible receivables from our clients. If we are unable to collect our receivables or unbilled services it could have a material adverse effect on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customers typically withhold some portion of amounts due to us as retainage until a project is complete. In addition, we have provided in the past and may provide in the future other forms of financing, such as agreeing to defer payment until certain project milestones have been met. These payment arrangements subject us to potential credit risk related to changes in business and economic factors affecting our customers. Often, in the case of EPC contracts and O&amp;M service contracts, our counterparties (customers) are special purpose vehicles whose only assets are the project under development or operation. In this case, we typically request a parent guarantee, letters of credit or evidence of financial close for the project from the customer. If we are unable to collect amounts owed, or retain amounts paid to us, our cash flows are reduced and we could experience losses. </w:t>
      </w:r>
    </w:p>
    <w:p>
      <w:pPr>
        <w:pStyle w:val="TextBody"/>
        <w:bidi w:val="0"/>
        <w:spacing w:before="240" w:after="0"/>
        <w:jc w:val="left"/>
        <w:rPr>
          <w:rFonts w:ascii="Times New Roman" w:hAnsi="Times New Roman"/>
          <w:sz w:val="20"/>
        </w:rPr>
      </w:pPr>
      <w:r>
        <w:rPr>
          <w:rFonts w:ascii="Times New Roman" w:hAnsi="Times New Roman"/>
          <w:sz w:val="20"/>
        </w:rPr>
        <w:t xml:space="preserve">Business and economic factors resulting in financial difficulties (including bankruptcy) for our customers (or their guarantors if applicable) can also reduce the value of any financing or equity investment arrangements we have with our customers, thereby increasing the risk of loss in those circumstances. Losses experienced as a result of these risks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and claims expenses, as well as the unavailability or cancelation of third-party insurance coverage,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maintain insurance with insurance carriers for potential losses arising out of our business and operations, and such insurance is subject to high deductibles. We renew our third-party insurance policies on an annual basis, and therefore deductibles and levels of coverage offered may change in future periods, and there is no assurance that any of our coverages will be renewed at their current levels or at all or that any future coverage will be available at reasonable and competitive rates. In connection with such renewals, we evaluate the level of insurance coverage and adjust insurance levels based on risk tolerance, risk volatility, and premium expense. Our insurance coverages may not be sufficient or effective under all circumstances or against all claims and liabilities asserted against us, and if we are not fully insured against such claims and liabilities, it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insurance policies include various coverage requirements, including the requirement to give appropriate notice under the policy. If we fail to comply with these requirements, our coverage could be denied. Losses under our insurance programs are accrued based upon our estimates of the ultimate liability for claims reported and an estimate of claims incurred but not reported, with assistance from third-party actuaries. Insurance liabilities are difficult to assess and estimate due to unknown factors, including the severity of an injury, the extent of damage, the determination of our liability in proportion to other parties and the number of incidents not reported. The accruals are based upon known facts and historical trends. </w:t>
      </w:r>
    </w:p>
    <w:p>
      <w:pPr>
        <w:pStyle w:val="TextBody"/>
        <w:bidi w:val="0"/>
        <w:spacing w:before="240" w:after="0"/>
        <w:jc w:val="left"/>
        <w:rPr>
          <w:rFonts w:ascii="Times New Roman" w:hAnsi="Times New Roman"/>
          <w:sz w:val="20"/>
        </w:rPr>
      </w:pPr>
      <w:r>
        <w:rPr>
          <w:rFonts w:ascii="Times New Roman" w:hAnsi="Times New Roman"/>
          <w:sz w:val="20"/>
        </w:rPr>
        <w:t xml:space="preserve">Further, there has been a wave of blockbuster, or so-called “nuclear”, verdicts resulting from liabilities arising out of vehicle and other accidents in recent years. Given the current claims environment, the amount of coverage available from excess insurance carriers is decreasing, and the premiums for this excess coverage are increasing significantly. For these reasons, our insurance and claims expenses may increase. </w:t>
      </w:r>
    </w:p>
    <w:p>
      <w:pPr>
        <w:pStyle w:val="TextBody"/>
        <w:bidi w:val="0"/>
        <w:spacing w:before="240" w:after="0"/>
        <w:jc w:val="left"/>
        <w:rPr>
          <w:rFonts w:ascii="Times New Roman" w:hAnsi="Times New Roman"/>
          <w:sz w:val="20"/>
        </w:rPr>
      </w:pPr>
      <w:r>
        <w:rPr>
          <w:rFonts w:ascii="Times New Roman" w:hAnsi="Times New Roman"/>
          <w:sz w:val="20"/>
        </w:rPr>
        <w:t xml:space="preserve">Although we reserve for anticipated losses and expenses and periodically evaluate and adjust our claims reserves to reflect our experience, estimating the number and severity of claims, as well as related costs to settle or resolve them, is inherently difficult and subject to a high degree of variability, and such costs could exceed our reserve estimates. Accordingly, our actual losses associated with insured claims may differ materially from our reserve estimates,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are subject to physical risks including those associated with climate change. </w:t>
      </w:r>
    </w:p>
    <w:p>
      <w:pPr>
        <w:pStyle w:val="TextBody"/>
        <w:bidi w:val="0"/>
        <w:spacing w:before="120" w:after="0"/>
        <w:jc w:val="left"/>
        <w:rPr>
          <w:rFonts w:ascii="Times New Roman" w:hAnsi="Times New Roman"/>
          <w:sz w:val="20"/>
        </w:rPr>
      </w:pPr>
      <w:r>
        <w:rPr>
          <w:rFonts w:ascii="Times New Roman" w:hAnsi="Times New Roman"/>
          <w:sz w:val="20"/>
        </w:rPr>
        <w:t xml:space="preserve">Changes in climate have caused, and are expected to continue to cause, among other things, increasing mean annual temperatures, rising sea levels and changes to meteorological and hydrological patterns, as well as impacts to the frequency and intensity of wildfires, hurricanes, floods, droughts, extreme temperatures, storms and severe weather-related events and natural disasters. We are also subject to physical risks such as earthquakes and landslides, such as in active earthquake zones in California. These risks extend to certain facilities and suppliers operating in the same region or in other locations that are susceptible to natural disasters, which could cause significant business interruptions, or damage or destroy our facilities, our suppliers’, or the manufacturing equipment or inventory of our suppliers. These changes have and could continue to significantly impact our future results of operations and may have a material adverse effect on our business, financial condition and results of operations. While we seek to mitigate our risks associated with climate change, we recognize that there are inherent climate-related risks regardless of how and where we conduct our operations. For example, catastrophic natural disasters can negatively impact projects we are working on, our facilities and other physical locations, portions of our equipment, or the locations and service regions of our customers. Accordingly, a natural disaster has the potential to disrupt our and our customers’ businesses and may cause us to experience work stoppages, project delays, financial losses and additional costs to resume operations, including increased insurance costs or loss of coverage, legal liability and reputational losses, and we expect that increasing physical climate-related impacts may result in further changes to the cost or availability of insurance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Physical risks associated with climate change have also increased hazards associated with our operations, which in turn has increased the potential for liability and increased the costs associated with our operations. For example, as discussed above, severe weather events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p>
      <w:pPr>
        <w:pStyle w:val="TextBody"/>
        <w:bidi w:val="0"/>
        <w:spacing w:before="120" w:after="0"/>
        <w:jc w:val="left"/>
        <w:rPr>
          <w:rFonts w:ascii="Times New Roman" w:hAnsi="Times New Roman"/>
          <w:sz w:val="20"/>
        </w:rPr>
      </w:pPr>
      <w:r>
        <w:rPr>
          <w:rFonts w:ascii="Times New Roman" w:hAnsi="Times New Roman"/>
          <w:sz w:val="20"/>
        </w:rPr>
        <w:t xml:space="preserve">Due to the nature of our services and certain of our product solutions, as well as the conditions in which we and our customers operate, our business is subject to operational hazards and accidents that can result in significant liabilities. These operational hazards include, among other things, electrocution, explosions, leaks, collisions, mechanical failures, and damage from severe weather conditions and natural disasters such as extreme temperatures, flooding or severe rain or hail. Furthermore, certain operational hazards have become more widespread in recent years due to changes in climate and other factors, and certain of our customers operate in locations and environments that increase the likelihood and/or severity of these operational hazards. </w:t>
      </w:r>
    </w:p>
    <w:p>
      <w:pPr>
        <w:pStyle w:val="TextBody"/>
        <w:bidi w:val="0"/>
        <w:spacing w:before="240" w:after="0"/>
        <w:jc w:val="left"/>
        <w:rPr>
          <w:rFonts w:ascii="Times New Roman" w:hAnsi="Times New Roman"/>
          <w:sz w:val="20"/>
        </w:rPr>
      </w:pPr>
      <w:r>
        <w:rPr>
          <w:rFonts w:ascii="Times New Roman" w:hAnsi="Times New Roman"/>
          <w:sz w:val="20"/>
        </w:rPr>
        <w:t xml:space="preserve">Our projects are subject to the risk of damage and disruption which are caused by severe weather events (such as extreme cold weather, hail, hurricanes, tornadoes and heavy snowfall), seismic activity, fires, floods and other natural disasters or catastrophic events, which could result in a project delay and could cause severe damage to equipment used in our projects and/or our customers’ assets. Any of these events would negatively impact our ability to deliver our services to our customers and could result in reduced demand for our services,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Events arising from operational hazards and accidents have resulted in significant liabilities to us in the past and may expose us to significant claims and liabilities in the future. These claims and liabilities can arise through indemnification obligations to customers, our negligence or otherwise, and such claims and liabilities can arise even if our operations are not the cause of the harm. We also perform site-work services and construction services, as well as services on other infrastructure assets, and failure of, or accidents with respect to work we perform on, any of these types of assets could result in significant claims or liabilities. Our exposure to liability can also extend for years after we complete our services, and potential claims and liabilities arising from significant accidents and events can take years and significant legal costs to resolve. </w:t>
      </w:r>
    </w:p>
    <w:p>
      <w:pPr>
        <w:pStyle w:val="TextBody"/>
        <w:bidi w:val="0"/>
        <w:spacing w:before="240" w:after="0"/>
        <w:jc w:val="left"/>
        <w:rPr>
          <w:rFonts w:ascii="Times New Roman" w:hAnsi="Times New Roman"/>
          <w:sz w:val="20"/>
        </w:rPr>
      </w:pPr>
      <w:r>
        <w:rPr>
          <w:rFonts w:ascii="Times New Roman" w:hAnsi="Times New Roman"/>
          <w:sz w:val="20"/>
        </w:rPr>
        <w:t xml:space="preserve">Potential liabilities include, among other things, claims associated with personal injury, including severe injury or loss of life, and destruction of or significant damage to property and equipment (with respect to both our customers and other third parties), as well as harm to the environment, and other claims discussed above. These potential liabilities could lead to suspension of operations, adverse effects to our safety record and reputation and/or material liabilities and legal costs. In addition, if any of these events or related losses are alleged or found to be the result of our or our customers’ activities or services, we could be subject to government enforcement actions, regulatory penalties, civil litigation and governmental actions, including investigations, citations, fines and suspension of operations. Insurance coverage may not be available to us or may be insufficient to cover the cost of any of these liabilities and legal costs, and our insurance costs may increase if we incur liabilities associated with operational hazards. If we are not fully insured or indemnified against such liabilities and legal costs or a counterparty fails to meet its indemnification obligations to us, it could have a material adverse effect on our business, financial condition and results of operations. Further, to the extent our reputation or safety record is adversely affected, demand for our services could decline or we may not be able to bid for certain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Increasing scrutiny and changing expectations from various stakeholders with respect to corporate sustainability practices may impose additional costs on us or expose us to reputational or other risks. </w:t>
      </w:r>
    </w:p>
    <w:p>
      <w:pPr>
        <w:pStyle w:val="TextBody"/>
        <w:bidi w:val="0"/>
        <w:spacing w:before="120" w:after="0"/>
        <w:jc w:val="left"/>
        <w:rPr>
          <w:rFonts w:ascii="Times New Roman" w:hAnsi="Times New Roman"/>
          <w:sz w:val="20"/>
        </w:rPr>
      </w:pPr>
      <w:r>
        <w:rPr>
          <w:rFonts w:ascii="Times New Roman" w:hAnsi="Times New Roman"/>
          <w:sz w:val="20"/>
        </w:rPr>
        <w:t xml:space="preserve">Investors, customers and other stakeholders have focused on sustainability practices of companies, including, among other things, practices with respect to human capital resources, emissions and environmental impact and political spending. Expectations and requirements of our investors, customers and other stakeholders evolve rapidly and are largely out of our control, and our initiatives and disclosures in response to such expectations and requirements may result in increased costs (including but not limited to increased costs related to compliance, stakeholder engagement, contracting and insurance), changes in demand for certain services, enhanced compliance or disclosure obligations, or other material adverse effects to our business, financial condition and results of operations. In addition, there has been an increase in activism, media attention, and litigation related to such matters. While we have programs and initiatives in place related to our sustainability practices, investors may decide to reallocate capital or to not commit capital as a result of their assessment of our practices, and there is no guarantee that our programs and initiatives will have the desired outcomes, or that we will be successful in achieving related goals or targets that we may set. Failure or a perception of failure to implement corporate sustainability practices or achieve sustainability goals and targets we have set, or that we have set them at all, could damage our reputation, causing investors or customers to lose confidence and negatively impact the business. In addition, our customers may require that we implement certain additional procedures or standards in order to continue to do business with us. A failure to comply with investor, customer and other stakeholder expectations and standards, which are evolving and can conflict, or if we are perceived not to have responded appropriately to their growing concerns around sustainability issues, regardless of whether there is a legal requirement to do so, could also cause reputational harm to our business and could have a material adverse effect on our business, financial condition and results of operations. For example, if a portion of our operations are perceived to result in high greenhouse gas emissions, our reputation could suffer. In addition, organizations that provide ratings information to investors on sustainability matters may assign unfavorable ratings to us or our industry, which may lead to negative investor sentiment and the diversion of investment to other companies or industries, which could have a negative impact on our stock price and our costs of capital. </w:t>
      </w:r>
    </w:p>
    <w:p>
      <w:pPr>
        <w:pStyle w:val="TextBody"/>
        <w:bidi w:val="0"/>
        <w:spacing w:before="240" w:after="0"/>
        <w:jc w:val="left"/>
        <w:rPr>
          <w:rFonts w:ascii="Times New Roman" w:hAnsi="Times New Roman"/>
          <w:sz w:val="20"/>
        </w:rPr>
      </w:pPr>
      <w:r>
        <w:rPr>
          <w:rFonts w:ascii="Times New Roman" w:hAnsi="Times New Roman"/>
          <w:sz w:val="20"/>
        </w:rPr>
        <w:t xml:space="preserve">Moreover, while we may create and publish voluntary disclosures regarding sustainability matters from time to time, many of the statements in those voluntary disclosures are based on hypothetical expectations and estimates and assumptions that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In addition, we expect there will likely be increasing levels of regulation, disclosure-related and otherwise, with respect to sustainability matters. For example, certain jurisdictions in which we operate have adopted new requirements that would require companies to provide expanded emissions-related disclosures on an annual basis. Additionally, the State of California has enacted rules that require companies to provide significantly expanded climate-related disclosures, whereas other jurisdictions have attempted to impose conflicting regulations. While certain of these rules are subject to ongoing legal challenges, these new and proposed regulatory requirements may require us to incur significant additional costs to comply, including the implementation of significant additional internal controls processes and procedures regarding matters that have not been subject to such controls in the past, may subject us to fines or penalties for noncompliance, and may impose increased oversight obligations on our management and board of directors, all of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unionized workforce and related obligations may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approximately 15.1% of our employees were covered by collective bargaining agreements. The number of our employees covered by collective bargaining agreements could increase in the future for a variety of reasons, including acquisitions, unionization of a non-union operating company, project requirements (e.g., project labor agreements) and changes in law. The political and labor environment in recent years has also generally been more conducive to unionization attempts, and we have experienced an increase in unionization attempts at certain of our operating companies and expect such attempts to continue in the future. For a variety of reasons, our unionized workforce could adversely impact relationships with our customers and could have a material adverse effect on our business, financial condition and results of operations. Certain of our customers also require or prefer a non-union workforce, and they may reduce the amount of work assigned to us if our non-union labor crews become unionized.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although the majority of the collective bargaining agreements prohibit strikes and work stoppages, certain of our unionized employees have participated in strikes and work stoppages in the past and strikes or work stoppages could occur in the future. Our ability to complete future acquisitions also could be adversely affected because of our operating companies’ union status, including because our union agreements may be incompatible with the union agreements of a business we want to acquire or because a business we want to acquire may not want to become affiliated with our operating companies that have employees covered by collective bargaining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collective bargaining agreements generally require us to participate with other companies in multiemployer pension plans. To the extent a plan is underfunded, we may be subject to substantial liabilities under the Employee Retirement Income Security Act of 1974 (“ERISA”), as amended by the Multiemployer Pension Plan Amendments Act of 1980 if we withdraw or are deemed to withdraw from the plan or the plan is terminated or experiences a mass withdrawal, and we have been involved in several litigation matters associated with withdrawal liabilities in the past. Further, the Pension Protection Act of 2006 added special funding and operational rules generally applicable to multiemployer plans that are classified as “endangered,” “seriously endangered” or “critical” status based on multiple factors (including, for example, the plan’s funded percentage, cash flow position and a projected minimum funding deficiency). Plans in these classifications must adopt remedial measures, which may require additional contributions from employers (e.g., a surcharge on benefit contributions) and/or modifications to retiree benefits. Certain plans to which we contribute or may contribute in the future have these funding statuses, and we may be obligated to contribute material amounts to these plans in the future,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maintain, protect or enforce our rights in intellectual property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at least in part, on our ability to maintain, protect and enforce our intellectual property rights, including rights in our proprietary software platforms. Any failure to maintain, protect or enforce our intellectual property and proprietary rights adequately could result in our competitors offering similar services more quickly than anticipated, potentially resulting in the loss of some of our competitive advantage and a decrease in our revenue that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rely on intellectual property laws, primarily a combination of trademark, copyright and trade secret laws in the U.S., as well as contractual restrictions in our confidentiality, license and other agreements with our employees, consultants and other third parties with whom we have a relationship to protect our intellectual property rights. However, the steps we take to protect our intellectual property, trade secrets and other confidential information may not adequately secure our intellectual property rights. We cannot be certain our agreements will not be breached, including a breach involving the use or disclosure of our trade secrets or other confidential information, or that adequate remedies will be available in the event of any breach. In addition, our trade secrets may otherwise become known or lose trade secret protection.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we will be able to assert our intellectual property rights successfully in the future or that they will not be invalidated, circumvented, or challenged. Third parties may infringe, misappropriate or otherwise violate our intellectual property rights. Monitoring unauthorized use of our intellectual property is difficult and costly, and the steps we have taken or may take in the future in an effort to prevent infringement, misappropriation or other violation may not be successful. From time to time, we may have to resort to litigation to enforce our intellectual property, which could result in significant costs and diversion of our management’s attention and other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cannot be certain that our competitors will not independently develop same or similar technology, obtain information we regard as proprietary, or design around intellectual property rights of ours. Any failure by us to adequately protect or enforce our trademarks, copyrights or other intellectual property rights could adversely affect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intellectual property rights claims by third parties, which are extremely costly to defend, could require us to pay significant damages and could limit our ability to use certain technologies. </w:t>
      </w:r>
    </w:p>
    <w:p>
      <w:pPr>
        <w:pStyle w:val="TextBody"/>
        <w:bidi w:val="0"/>
        <w:spacing w:before="120" w:after="0"/>
        <w:jc w:val="left"/>
        <w:rPr>
          <w:rFonts w:ascii="Times New Roman" w:hAnsi="Times New Roman"/>
          <w:sz w:val="20"/>
        </w:rPr>
      </w:pPr>
      <w:r>
        <w:rPr>
          <w:rFonts w:ascii="Times New Roman" w:hAnsi="Times New Roman"/>
          <w:sz w:val="20"/>
        </w:rPr>
        <w:t xml:space="preserve">We cannot be certain the conduct of our business does not or will not infringe, misappropriate or otherwise violate the intellectual property rights of a third party. Third parties, including our competitors, may currently own or obtain in the future patents or other intellectual property rights that cover aspects of our proprietary technology or business methods. Such parties may claim we have misappropriated, misused, infringed or otherwise violated third-party intellectual property rights and if we gain greater recognition in the market, we face a higher risk of being the subject of claims we have violated others’ intellectual property rights. Any claim we violated a third party’s intellectual property rights, whether with or without merit, could be time-consuming, expensive to settle or litigate and could divert our management’s attention and other resources, all of which could adversely affect our business, financial condition and results of operations. Additionally, intellectual property claims against our customers relating to technology used on a project could cause delays in the completion of our projects. If we do not successfully settle or defend an intellectual property claim, we could be liable for significant monetary damages and could be prohibited from continuing to use certain technology, business methods, content or brands. To avoid a prohibition, we could seek a license from third parties, which could require us to pay significant royalties, increasing our operating expenses. If a license is not available at all or not available on commercially reasonable terms, we may be required to develop or license a non-violating alternative, either of which could adversely affect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use AI technologies in our business, and the deployment, use and maintenance of these technologies involve significant technological and legal risks. </w:t>
      </w:r>
    </w:p>
    <w:p>
      <w:pPr>
        <w:pStyle w:val="TextBody"/>
        <w:bidi w:val="0"/>
        <w:spacing w:before="120" w:after="0"/>
        <w:jc w:val="left"/>
        <w:rPr>
          <w:rFonts w:ascii="Times New Roman" w:hAnsi="Times New Roman"/>
          <w:sz w:val="20"/>
        </w:rPr>
      </w:pPr>
      <w:r>
        <w:rPr>
          <w:rFonts w:ascii="Times New Roman" w:hAnsi="Times New Roman"/>
          <w:sz w:val="20"/>
        </w:rPr>
        <w:t xml:space="preserve">We use AI technologies in our business, and we are making investments to continuously evaluate, develop, deploy, use, maintain, and improve our use of such technologies. The market for AI technologies is rapidly evolving and these technologies are yet to become widely accepted in many industries, including the solar and renewable energy industry as well as the energy infrastructure industry generally. We cannot be sure that the market will continue to grow or that it will grow in ways we anticipate. We are in varying stages of evaluation and implementation in relation to AI technologies, and we may not be successful in our ongoing development of these technologies in the face of novel and evolving technical, reputational, and market factors.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 </w:t>
      </w:r>
    </w:p>
    <w:p>
      <w:pPr>
        <w:pStyle w:val="TextBody"/>
        <w:bidi w:val="0"/>
        <w:spacing w:before="240" w:after="0"/>
        <w:jc w:val="left"/>
        <w:rPr>
          <w:rFonts w:ascii="Times New Roman" w:hAnsi="Times New Roman"/>
          <w:sz w:val="20"/>
        </w:rPr>
      </w:pPr>
      <w:r>
        <w:rPr>
          <w:rFonts w:ascii="Times New Roman" w:hAnsi="Times New Roman"/>
          <w:sz w:val="20"/>
        </w:rPr>
        <w:t xml:space="preserve">Our use of AI could also result in unintended consequences. For example, AI algorithms and models that are used may have undisclosed inherent limitations, be flawed or contain errors or may be based on datasets that are biased, outdated, collected in violation of applicable laws, or insufficient. </w:t>
      </w:r>
    </w:p>
    <w:p>
      <w:pPr>
        <w:pStyle w:val="TextBody"/>
        <w:bidi w:val="0"/>
        <w:spacing w:before="240" w:after="0"/>
        <w:jc w:val="left"/>
        <w:rPr>
          <w:rFonts w:ascii="Times New Roman" w:hAnsi="Times New Roman"/>
          <w:sz w:val="20"/>
        </w:rPr>
      </w:pPr>
      <w:r>
        <w:rPr>
          <w:rFonts w:ascii="Times New Roman" w:hAnsi="Times New Roman"/>
          <w:sz w:val="20"/>
        </w:rPr>
        <w:t xml:space="preserve">We also face competition in relation to the evaluation, development, deployment, use, maintenance, and improvement of AI technologies. Our competitors or our customers may develop or use technologies that are similar or superior to ours, are more cost-effective, or are quicker to develop and deploy. Our failure to successfully commercialize product offerings involving AI technologies, or our failure to offer or deploy new technologies as effectively, as quickly or as cost-efficiently as our competitors, could impair our ability to expand our business and deliver value to our customers. We expect that increased investment will be required in the future to continuously implement data-driven solutions and improve our use of AI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technologies underlying AI and its use cases are rapidly developing, and remain subject to existing laws, including privacy, consumer protection and federal equal opportunity laws. As a result, it is not possible to predict all of the legal, operational or technological risks related to the use of AI. Such uncertainty in the legal regulatory regime relating to AI, such as evolving review by agencies including the United States Securities and Exchange Commission (“SEC”) and the FTC, may require significant resources to modify and maintain business practices to comply with U.S. and non-U.S. laws and regulations, the nature of which cannot be determined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As with many technological innovations, there are significant risks involved in evaluating, developing, deploying, using, maintaining and improving these technologies, and there can be no assurance that the usage of or our investments in such technologies will always enhance our data-driven solutions or be beneficial to our business, including our efficiency or profitability. Any of the foregoing, together with developing guidance and/or decisions in this area, may affect our use of AI and our ability to provide and improve our services, require additional compliance measures and changes to our operations and processes, and result in increased compliance costs and potential increases in civil claims against us. Any actual or perceived failure to comply with evolving regulatory frameworks around the development and use of AI technologies could adversely affect our business, results of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Negative macroeconomic conditions and industry-specific market conditions can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Stagnant or deteriorating economic conditions, including a prolonged economic downturn or recession, as well as significant events that have an impact on financial or capital markets, can adversely impact the demand for our services and result in the delay, reduction or cancelation of certain projects. Macroeconomic conditions, including inflation, slow growth or recession, changes to fiscal and monetary policy, changes in global trade relationships, and tighter credit and higher interest rates could materially and adversely affect demand for our services and the availability and cost of the materials and equipment that we need to deliver our services or that our customers need for their projects. During periods of elevated economic uncertainty, our customers may reduce or eliminate their spending on the services we provide. In addition, volatility in the debt or equity markets, as well as prolonged higher interest rates, may negatively impact our customers’ access to or willingness to raise capital and result in the reduction or elimination of spending on the services we provide. Our vendors, suppliers and subcontractors may also be, to varying degrees, adversely affected by these conditions. These conditions, which can develop rapidly,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 number of factors can also adversely affect the power industry, including, among other things, prevailing power prices, the economic impact of supply chain and other logistical issues, financing conditions, potential bankruptcies, global and U.S. trade relationships, changes in regulations, including modifications to tax credits and renewable energy mandates, and other geopolitical conflicts and other events. A reduction in cash flows or the lack of availability of debt or equity financing for our customers on favorable terms could result in a reduction in our customers’ spending for our services and also impact the ability of our customers to pay amounts owed to us, which could have a material adverse effect on our business, financial condition and results of operations. Consolidation, competition, capital constraints or negative economic conditions in the renewable energy industry can also result in reduced spending by, or the loss of, one or more of our customers.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also exposed to risks associated with the renewable energy industry. These risks, which are not subject to our control, including power prices, the availability and attractiveness of incentives for renewable energy, the demand for renewable energy sources, including improvements in the affordability and efficiency of traditional and novel electric generation technologies, and legislative and regulatory actions, as well as public opinion, regarding the impact of fossil fuels on the climate and environment. Specifically, lower power prices, or perceived risk thereof, can result in decreased or delayed spending by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Projects in our industry can have long sales cycles requiring significant upfront investment of resources which, if they do not result in a project,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sales cycles for our customers’ projects vary substantially and can take many months or years to mature. As a result of these long sales cycles, we may need to make significant upfront investments of resources (including, for example, sales and marketing, engineering and research and development expenses) in advance of the signing of EPC contracts, commencing construction, and recognizing any revenue, which may not be recognized for several additional months following contract signing. Our potential inability to enter into contracts with potential customers on favorable terms after making such upfront investments could cause us to forfeit certain nonrefundable payments or otherwise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revenues and profitability can be negatively impacted if our customers encounter financial difficulties or file bankruptcy or disputes arise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Our contracts often require us to satisfy or achieve certain milestones in order to receive payment, or in the case of cost-reimbursable contracts, provide support for billings in advance of payment. As a result, we could be required to incur significant costs or perform significant amounts of work prior to receipt of payment. We could face difficulties collecting payment and sometimes fail to receive payment for such costs in circumstances where our customers do not proceed to project completion, terminate or cancel a contract, default on their payment obligations, or dispute the adequacy of our billing support. We have in the past brought, and may in the future bring, claims against our customers related to the payment terms of our contracts, and any such claims may harm our relationships with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Slowing economic conditions in the power industry can also impair the financial condition of our customers and hinder their ability to pay us on a timely basis or at all. To the extent a customer files bankruptcy, payment of amounts owed can be delayed and certain payments we receive prior to the filing of the bankruptcy petition may be avoided and returned to the customer’s bankruptcy estate. Furthermore, many of our customers for larger projects are project-specific entities that do not have significant assets other than their interests in the project and could be more likely to encounter financial difficulties relating to their businesses. We ultimately may be unable to collect amounts owed to us by customers experiencing financial difficulties or in bankruptcy, and accounts receivable from such customers may become uncollectible and ultimately have to be written off,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highly competitive, and competitive pressures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cannot be certain that we will maintain or enhance our competitive position or maintain our current customer base. Our industry is served by numerous companies, from small, owner-operated private companies to large multi-national, public companies. Relatively few barriers prevent entry into some areas of our business, and as a result, any organization that has adequate financial resources and access to technical expertise may become one of our competitors. In addition, some of our competitors have significant financial, technical and marketing resources, and may have or develop expertise, experience and resources to provide services that are superior in both price and quality to our services. Certain of our competitors may also have lower overhead cost structures, and therefore may be able to provide services at lower rates than us. Additionally, many of our existing or prospective customers are now capable, or may in the future become capable, of performing the same types of O&amp;M services we provide, and these customers may also face pressure or be compelled to self-perform an increasing amount of the services we currently perform for them, thereby reducing the services they outsource to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subcontract certain of our services, including pursuant to customer and regulatory requirements, and certain of these subcontractors may develop into a competitor to us on prime contracts with our customers. Our subcontracting requirements have also increased in recent years, primarily as a result of these customer and regulatory requirements, which not only increases the number of viable competitors but could also negatively impact our ability to self-perform projects. </w:t>
      </w:r>
    </w:p>
    <w:p>
      <w:pPr>
        <w:pStyle w:val="TextBody"/>
        <w:bidi w:val="0"/>
        <w:spacing w:before="240" w:after="0"/>
        <w:jc w:val="left"/>
        <w:rPr>
          <w:rFonts w:ascii="Times New Roman" w:hAnsi="Times New Roman"/>
          <w:sz w:val="20"/>
        </w:rPr>
      </w:pPr>
      <w:r>
        <w:rPr>
          <w:rFonts w:ascii="Times New Roman" w:hAnsi="Times New Roman"/>
          <w:sz w:val="20"/>
        </w:rPr>
        <w:t xml:space="preserve">Furthermore, a substantial portion of our revenues is directly or indirectly dependent upon obtaining new contracts, which is unpredictable and often involves complex and lengthy negotiations and bidding processes that are impacted by a wide variety of factors, including, among other things, price, governmental approvals, financing contingencies, commodity prices, environmental conditions, overall market and economic conditions, and a potential customer’s perception of our ability to perform the work or the technological advantages held by our competitors. The competitive environment we operate in can also affect the timing of contract awards and the commencement or progress of work under awarded contracts. For example, based on rapidly changing competition and market dynamics, we have recently experienced, and may in the future experience, more competitive pricing for smaller scale projects. Additionally, changing competitive pressures present difficulties in matching workforce size with available contract awards. As a result of the factors described above, the competitive environment we operate in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Technological advancements in other forms of power generation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Technological advancements in other forms of power generation could result in reduced investment in solar and battery storage projects and reduced demand for our services, which could have a material adverse effect on our business, financial condition and results of operations. For example, if other forms of power generation, including natural gas, nuclear, coal or other renewable energy technologies, are able to generate and deliver electricity at lower cost or with improved operational and/or environmental efficiency, relative to solar and battery storage projects, demand for our services could be significantly reduced. Additionally, any technological advancements may result in increased investment in other forms of power generation in lieu of investment in our industry, which could result in changing customer priorities and lead to reduced demand. </w:t>
      </w:r>
    </w:p>
    <w:p>
      <w:pPr>
        <w:pStyle w:val="TextBody"/>
        <w:bidi w:val="0"/>
        <w:spacing w:before="240" w:after="0"/>
        <w:jc w:val="left"/>
        <w:rPr>
          <w:rFonts w:ascii="Times New Roman" w:hAnsi="Times New Roman"/>
          <w:sz w:val="20"/>
        </w:rPr>
      </w:pPr>
      <w:r>
        <w:rPr>
          <w:rFonts w:ascii="Times New Roman" w:hAnsi="Times New Roman"/>
          <w:sz w:val="20"/>
        </w:rPr>
        <w:t xml:space="preserve">Our future success will depend, in part, on our ability to anticipate and adapt to these and other potential changes in a cost-effective manner and to offer services that meet customer demands and evolving industry standards. Our failure to do so or the incurrence of significant expenditures in adapting to such changes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view our portfolio of energized services tools and techniques, as well as our other process and design technologies, as competitive strengths, which we believe differentiate our service offerings. If our intellectual property rights or work processes become obsolete, through technological advancements or otherwise, we may not be able to differentiate our service offerings and some of our competitors may be able to offer more attractive services to our customers, which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Regulation and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Regulatory requirements applicable to our industry and changes in current and potential legislative and regulatory initiatives may adversely affect demand for our services. </w:t>
      </w:r>
    </w:p>
    <w:p>
      <w:pPr>
        <w:pStyle w:val="TextBody"/>
        <w:bidi w:val="0"/>
        <w:spacing w:before="120" w:after="0"/>
        <w:jc w:val="left"/>
        <w:rPr>
          <w:rFonts w:ascii="Times New Roman" w:hAnsi="Times New Roman"/>
          <w:sz w:val="20"/>
        </w:rPr>
      </w:pPr>
      <w:r>
        <w:rPr>
          <w:rFonts w:ascii="Times New Roman" w:hAnsi="Times New Roman"/>
          <w:sz w:val="20"/>
        </w:rPr>
        <w:t xml:space="preserve">The federal, state and local regulations affecting the power industry, including, among other things, environmental, health, safety, and permitting requirements and materials sourcing and transportation obligations, have a material effect on our business. These regulations are complex and subject to change both in substance and interpretation and often regulations across various jurisdictions can differ or conflict, all of which can negatively impact our or our customers’ ability to efficiently operate. In recent years, customers in our industry have faced heightened regulatory requirements and increased regulatory enforcement, as well as private legal challenges related to compliance with such regulatory requirements, which have resulted in delays, reductions in scope and cancelations of projects. Furthermore, we are subject to certain regulatory requirements applicable to our customers, and our inability to meet those requirements could result in decreased demand for our services. Increased and changing regulatory requirements applicable to us and our customers have resulted in, among other things, project delays and decreased demand for our services in the past, and may do so in the future,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in the past, sourcing restrictions on critical components for our customers’ projects have resulted in supply chain and logistical challenges, which negatively impacted certain of our services. We may be impacted in the future by sourcing restrictions, including, but not limited to, taxes, tariffs and duties, which may negatively impact project timing and cost within certain of our markets in the future. Furthermore, with respect to our contracts under which we are responsible for procuring all or a portion of the materials needed for projects, including our EPC contracts, we are often required to comply with complex sourcing and transportation regulations, which can involve cross-border movement of such materials. Changes to, or our failure to comply with, these regulatory requirements can result in project delays and additional project costs, which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Our failure to comply with these regulatory requirements, including reliability standards promulgated by the designated Electric Reliability Organization (which is currently NERC), could result in criminal or civil fines, penalties, forfeitures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Regulatory requirements focused on concerns about climate-change related issues, including any new or changed requirements concerning the reduction, production or consumption of fossil fuels, could negatively impact the production volumes of our customers, which could in turn negatively impact demand for certain of our services. Additionally, new regulations addressing greenhouse gas emissions from mobile sources could also significantly increase costs for our large fleet of vehicles, render portions of our fleet of vehicles obsolete or reduce the availability of vehicles we need to perform our services. Laws, regulations and existing policies related to climate change and to greenhouse gas emissions have been rapidly evolving and are increasingly difficult to predict, particularly in light of recent announcements and actions by the U.S. government to reconsider air-related regulations and policies. </w:t>
      </w:r>
    </w:p>
    <w:p>
      <w:pPr>
        <w:pStyle w:val="TextBody"/>
        <w:bidi w:val="0"/>
        <w:spacing w:before="240" w:after="0"/>
        <w:jc w:val="left"/>
        <w:rPr>
          <w:rFonts w:ascii="Times New Roman" w:hAnsi="Times New Roman"/>
          <w:sz w:val="20"/>
        </w:rPr>
      </w:pPr>
      <w:r>
        <w:rPr>
          <w:rFonts w:ascii="Times New Roman" w:hAnsi="Times New Roman"/>
          <w:sz w:val="20"/>
        </w:rPr>
        <w:t xml:space="preserve">For example, shortly following the passage of the OBBBA, on July 7, 2025, the Trump Administration issued an executive order directing the Secretary of the Interior to revise any regulations, guidance, policies and practices to eliminate any preferential treatment to wind and solar facilities in comparison to dispatchable energy sources. On July 29, 2025, the Secretary of Interior issued an order directing the Department of Interior to identify and halt support for policies biased in favor of wind and solar energy (including with respect to land use and its authorizations, environmental and wildlife permits, processes related to Tribal and Native lands, commercial and financial authorizations and other actions such as temporary use permits and access road authorizations). This and other similar governmental actions can impact continuous or future investment and development of wind and solar projects on federal land or that require federal permits or approvals and therefore reduce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certain services within our business, current and potential legislative or regulatory initiatives may be amended or repealed or may not be implemented or extended or result in incremental increased demand for our services, including the IIJA, legislation or regulation that mandates percentages of power to be generated from renewable sources, requires utilities to meet reliability standards, provides for existing or new production tax credits for renewable energy developers, or encourages installation of new electric power transmission and renewable energy generation facilities. While these actions and initiatives have positively impacted demand for our services in the past, it is not certain whether they will continue to do so in the future,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unavailability, reduction or elimination of government and economic incentives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or our customers benefit from certain government subsidies and economic incentives from time to time, including renewable energy tax credits, rebates and other incentives that support the development and adoption of clean energy solutions. The IRA introduced and extended several U.S. federal income tax credits to promote clean energy development. The IRA has driven significant investments in clean energy developments since its enactment and thereby increased demand from our customers for our services. However, under the OBBBA, which was signed into law on July 4, 2025, the CEPC and the CEIC under Section 45Y and Section 48E of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U.S. Department of the Treasury (“Treasury”), among other things, to enforce the accelerated termination of the CEPC and CEIC for solar and wind projects. Following the executive order, Treasury and the U.S. Internal Revenue Service (the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Further, as demonstrated by the above discussion of the OBBBA and related changes in law, government incentives are subject to inherent uncertainties and may be discontinued, repealed or amended at any time. Any reduction, elimination or discriminatory application of government subsidies and economic incentives that would otherwise be available to our customers because of further policy changes, or the reduced need for such subsidies and incentives due to the perceived success of clean and renewable energy products, a new U.S. presidential administration and its focus on the development of more traditional energy generation projects or other reasons, may require our customers to seek additional financing, which may not be obtainable on commercially attractive terms or at all, or abandon or not proceed with projects and may result in the diminished competitiveness of the solar and renewable energy industry generally or our business in particular. In addition, as illustrated in the foregoing paragraphs, any change in the level of subsidies and incentives from which we (directly or indirectly) benefit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complex federal, state and other environmental, health and safety laws and regulations that could adversely affect the cost, manner or feasibility of conducting our operations or expose us to significant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a complex and rapidly evolving set of federal, state, local and international environmental, health and safety laws and regulations. These laws govern the generation, use, storage, release, management and disposal of, or exposure to, hazardous materials and wastes, the remediation of contaminated sites, fuel storage, wastewater and stormwater discharges, air emissions, the protection of natural resources (such as protected wetlands or threatened and endangered species and their habitat) and occupational health and safety. These laws, rules and regulations require us to obtain and maintain regulatory licenses, permits and other approvals, comply with the requirements of such licenses, permits and other approvals and perform environmental impact studies prior to commencing new projects or making changes to existing projects. Additionally, as a company with a focus on ESG and sustainability, noncompliance with environmental laws, rules or regulations can also significantly harm our reputation. We could be held liable for significant penalties and damages under certain environmental laws and regulations or be subject to revocation of certain licenses or permits,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perform work, including directional drilling, in and around environmentally sensitive areas such as rivers, lakes and wetlands. Due to the inconsistent nature of the terrain and water bodies, it is possible that such work may cause the release of subsurface materials that contain contaminants in excess of amounts permitted by law, potentially exposing us to remediation costs and fines. For example, the Clean Water Act (the “CWA”) and comparable state laws and regulations applicable to our construction activities require us to establish authorization for the discharge of stormwater, which may require the development and implementation of a SWPPP to describe the construction activities and the pollution prevention practices that will be implemented in connection with those activities.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lease numerous properties and facilities, including certain of which that contain above-and below-ground fuel storage tanks or otherwise involve operations including the generation, use, storage or management of hazardous materials and wastes. Under certain environmental laws, we could be held responsible for costs (including remediation costs and fines) relating to contamination at our past or present properties and facilities. Although we maintain environmental insurance policies to address certain environmental risks, we can give no assurance that we will be able to maintain such policies in the future or that such policies will cover the full cost of environmental liabilities. The obligations, liabilities, fines and costs associated with these events and conditions may be material and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new or amended laws and regulations, changes in the interpretation of existing laws and increased regulatory scrutiny could require us to incur significant costs or result in new or increased liabilities. For instance, changes to the definition of “waters of the United States” by the Environmental Protection Agency may broaden the scope of the CWA, potentially impacting construction activities near certain waterways. In some cases, we have obtained indemnification and other rights from third parties (including predecessors or lessors) for such obligations and liabilities; however, these indemnities may not cover all of our costs and indemnitors may fail to fulfill their financial obligations to us. Further, in connection with an acquisition, we may not identify all potential environmental liabilities associated with the acquired business. Such uncertainty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regulatory requirements applicable to us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specific regulatory regimes and requirements that could result in significant compliance costs and liabilities. As a public company, we are subject to various corporate governance and financial reporting requirements, including requirements for management to report on our internal control over financial reporting and for our independent registered public accounting firm to express an opinion on the operating effectiveness of our internal control over financial reporting. Failure to maintain effective internal controls, including the identification and remediation of significant internal control deficiencies in acquired businesses (both prior acquisitions and future acquisitions), could result in a reduced ability to obtain debt and equity financing, a loss of customers, fines or penalties, and/or additional expenditures to meet the requirements or remedy any deficiencies.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Any actual or perceived failure to comply with new or existing laws, regulations or other requirements relating to the privacy, security and processing of personal information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also collect, process and retain information that relates to individuals and/or constitutes “personal data,” “personal information,” “personally identifiable information,” or similar terms under applicable data privacy laws, including from and about our customers, stockholders, vendors and employees. Legislation and regulatory requirements, as well as contractual commitments, affect how we must store, use, transfer and process the confidential information of our customers, stockholders, vendors and employees. 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including in relation to cybersecurity incidents. These laws, as well as other new or changing legislative, regulatory or contractual requirements concerning data privacy and protection, could require us to expend significant additional compliance costs, implement new processes, or change our handling of information and business operations, and any failure or perceived failure to comply with such requirements can result in significant liability legal claims or proceedings (including class actions), regulatory investigations or enforcement actions, or harm to our reputation. In addition, we could incur significant costs in investigating and defending such claims and, if found liable, pay significant damages or fines or be required to make changes to our business. Any of these events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or our tax estimates or positions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or will be subject to extensive tax liabilities imposed by multiple jurisdictions, including income taxes, indirect taxes (excise/duty, sales/use, gross receipts, and value-added taxes), payroll taxes, franchise taxes, withholding taxes and ad valorem taxes. New tax laws and regulations and changes in existing tax laws and regulations are continuously being enacted or proposed, all of which can result in significant changes to the tax rate on our earnings and have a material impact on our earnings and cash flows from operations. Since future changes to tax legislation and regulations are unknown, we cannot predict the ultimate impact such changes may have on our business. In addition, significant judgment is required in determining our provision for income taxes. In the ordinary course of our business, there are many transactions and calculations where the ultimate tax determination is uncertain. We are and will be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mix of earnings, our ability to realize deferred tax assets and changes in uncertain tax positions. A significant increase in our tax rate or change to our tax positions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our failure to comply with anti-corruption, anti-bribery and/or international trade laws to which we are subject. </w:t>
      </w:r>
    </w:p>
    <w:p>
      <w:pPr>
        <w:pStyle w:val="TextBody"/>
        <w:bidi w:val="0"/>
        <w:spacing w:before="120" w:after="0"/>
        <w:jc w:val="left"/>
        <w:rPr>
          <w:rFonts w:ascii="Times New Roman" w:hAnsi="Times New Roman"/>
          <w:sz w:val="20"/>
        </w:rPr>
      </w:pPr>
      <w:r>
        <w:rPr>
          <w:rFonts w:ascii="Times New Roman" w:hAnsi="Times New Roman"/>
          <w:sz w:val="20"/>
        </w:rPr>
        <w:t xml:space="preserve">Applicable U.S. and non-U.S. anti-corruption and anti-bribery laws, including but not limited to the U.S. Foreign Corrupt Practices Act (“FCPA”), prohibit us from, among other things, corruptly making payments to non-U.S. officials for the purpose of obtaining or retaining business. We pursue certain opportunities in countries that experience government corruption, and in certain circumstances, compliance with these laws may conflict with local customs and practices. Our policies mandate compliance with all applicable anti-corruption and anti-bribery laws and our procedures and practices are designed to ensure that our employees and intermediaries comply with these laws. However, it is possible that our employees, subcontractors, agents and partners may take actions in violation of our policies, company-wide standards, procedures and anti-corruption and anti-bribery laws and that the controls we undertake to facilitate lawful conduct, which include internal control policies, could be intentionally circumvented or become inadequate because of changed conditions. Liability for such actions or inadvertences could result in severe criminal or civil fines, penalties, forfeitures, disgorgements or other sanctions, which in turn could have a material adverse effect on our reputation, business, financial condition and results of operations. In addition, detecting, investigating and resolving actual or alleged violations can be expensive and consume significant time and attention of our senior management, in-country management and other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pursuant to our EPC and other contracts where we have assumed responsibility to procure all or part of the materials needed for certain projects, we may source materials from outside the U.S. and be subject to non-U.S. laws associated with the procurement and transportation of such materials. The laws and regulations associated with such cross-border procurement activities are complex and our failure to comply with such laws or regulations may result in criminal or civil fines, penalties, sanctions or other liabilities,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Violations of export control and/or economic sanctions laws and regulations to which we are subject and changes to U.S. foreign trade policy could have a material adverse effect on our business, financial condition and results of operations, and we cannot predict the impact to our business or the future development of such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Our services may be subject to export control regulations, including the Export Administration Regulations administered by the U.S. Department of Commerce’s Bureau of Industry and Security. We are also subject to foreign assets control and economic sanctions regulations administered by the U.S. Department of the Treasury’s Office of Foreign Assets Control, which restrict or prohibit our ability to transact with certain foreign countries, individuals and entities. Export control regulations may restrict our ability to exchange technical information with foreign manufacturers and suppliers and economic sanctions regulations may restrict our ability to source from certain suppliers. In addition, in the future we may conduct business outside of the U.S. We will consider these scenarios when designing our policies and procedures and conducting training designed to facilitate compliance with U.S. export control and economic sanctions laws and regulations. Although we believe our policies and procedures will mitigate the risk of violations of such laws, our employees and intermediaries may take actions in violation of our policies or these laws. Any such violation, even if prohibited by our policies, could subject us to criminal or civil penalties or other sanctions, which could have a material adverse effect on our reputation,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changes in U.S. foreign policy, including as a result of the new presidential administration, could lead to additional export barriers or economic sanctions being imposed against foreign jurisdictions. Any such change in U.S. foreign policy could restrict or prohibit our ability to transact with, source from or export to certain foreign countries, individuals and entities (including manufacturers and suppliers) or to conduct business outside of the U.S. We cannot predict what changes to U.S. trade policy will be made by the Trump Administration, a future presidential administration or Congress, including whether existing tariff policies will be maintained or modified or whether the entry into new bilateral or multilateral trade agreements will occur, nor can we predict the effects that any such changes would have on our business. Changes in U.S. trade policy have resulted and could again result in adverse reactions from U.S. trade partners, including the adoption by such countries of responsive trade policies that may make it more difficult or costly for U.S. businesses to do business with suppliers and manufacturers of such countries. Changes to U.S. foreign trade policy that restrict our ability to transact with other countries, individuals or entities or to conduct business outside the U.S.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Immigration laws, including our inability to verify employment eligibility,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employ a significant number of employees, and while we utilize processes to assist in verifying the employment eligibility of our employees so that we maintain compliance with applicable laws, it is possible some of our employees may be unauthorized workers. The employment of unauthorized workers or failure to comply with the requirements of non-immigrant visas could subject us to fines, penalties and other costs, as well as result in adverse publicity that negatively impacts our reputation and brand and may make it more difficult to hire and retain qualified employees. Immigration laws have also been an area of considerable political focus in recent years, and, from time-to-time, the U.S. government considers or implements changes to federal immigration laws, regulations or enforcement programs. Changes in immigration or work authorization laws may increase our obligations for compliance and oversight, which could subject us to additional costs and potential liability and make our hiring processes more cumbersome, or reduce the availability of potential employees. Any of the foregoing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variable rate indebtedness subjects us to interest rate risk, which could cause our debt service obligations to increase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agreements governing our indebtedness are at variable rates of interest and expose us to interest rate risk. If interest rates increase, our debt service obligations on the variable rate indebtedness would increase even though the amount borrowed remains the same, and our net income and cash flows, including cash available for servicing our indebtedness, would correspondingly decrease. Although we may enter into agreements limiting our exposure to higher interest rates, these agreements may not be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comply with the covenants contained in the credit agreement governing the New Revolving Credit Facility, including as a result of events beyond our control, could result in an event of default that could cause repayment of our debt to be accelerated.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 governing the New Revolving Credit Facility imposes, and the agreements governing our future indebtedness may impose, material restrictions on us that limit our operating flexibility, which could harm our long-term interests. These restrictions, subject in certain cases to ordinary course of business and other exceptions, may limit our ability to engage in some transactions,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incurring or guaranteeing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dividends, redeeming capital stock or making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payments in respect of certain 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investments, including acquisitions, loans and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burdensome agreements with negative pledge clauses or restrictions on subsidiary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transferring or otherwise disposing of assets, properties or licenses not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liens on assets and capital stock to secure any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undergoing a change in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merging, consolidating, liquidating, winding up or dissolving;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unrelated lines of business and the business conducted by certain of our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transactions with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imposing restrictions on our business and operations, some of our debt instruments include covenants relating to one or more financial ratios and tests.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comply with the restrictions of our indebtedness,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 Any future debt that we incur may contain financial maintenance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substantial additional indebtedness in the future and may not be able to generate sufficient cash to service such indebtedness, and may be forced to take other actions to satisfy our obligations under such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long-term debt, exclusive of equipment financing and lease liabilities, of approximately $401.2 million, all of which was repaid in full with the net proceeds from the IPO. Assuming that the IPO and the application of the net proceeds therefrom had been completed on December 31, 2025, our long-term debt, exclusive of equipment financing and lease liabilities, would have been $0. See “Item 7. Management’s Discussion and Analysis of Financial Condition and Results of Operations” for descriptions of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and our subsidiaries had $78.8 million of unused commitments available to be borrowed under the Prior Revolving Facility. This amount includes no cash borrowings and is net of $11.2 million of outstanding letters of credit. The Prior Revolving Facility was terminated in connection with the IPO. Assuming that the IPO and the termination of the Prior Revolving Facility was completed on December 31, 2025, we and our subsidiaries would have had $188.8 million of unused commitments (net of $11.2 million of outstanding letters of credit) available to be borrowed under the New Revolving Credit Facility. See “Item 7. Management’s Discussion and Analysis of Financial Condition and Results of Operations” for descriptions of our indebtedness—Liquidity and Capital Resources” for additional information on the Prior Revolving Facility and the New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We may incur substantial indebtedness in the future, which would increase our debt service obligations and could further reduce the cash available to invest in operations. If new debt is added to our debt levels, or any debt is incurred by our subsidiaries, the related risks that we and our subsidiaries currently face could increase. The terms of our credit agreement do not fully prohibit us or our subsidiaries from incurring additional indebtedness,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Any such substantial indebtedness could restrict our operations and could have important consequences. For example, it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dedicate a substantial portion of our cash flows from operations to payments on our indebtedness, thereby reducing the availability of our cash flows to fund working capital and capital expenditures, and for other general corporate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industry, which may place us at a competitive disadvantage compared to our competitors that have less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us from making strategic acquisitions or other investments or cause us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obtain additional financing for working capital and capital expenditures, and for other general corporate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compliance with financial and other restrictive covenants that may restrict our ability to operate or expand.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ability to make scheduled payments due on any future debt obligations or to refinance any future debt obligations will depend on our financial condition and operating performance, which are subject to prevailing economic, industry and competitive conditions and to certain financial, business, legislative, regulatory and other factors beyond our control. We may be unable to maintain a level of cash flow from operating activities sufficient to permit us to pay the principal, premium, if any, and interest on any future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 and capital resources are insufficient to fund any future debt service obligations, we could face substantial liquidity problems. Any decrease in our liquidity could result in our inability to meet financial obligations or fund growth plans, and we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inability to generate sufficient cash flow to satisfy any future debt obligations or to refinance any future indebtedness on commercially reasonable terms or at all would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Organizational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principal asset is our direct or indirect interest in SOLV Energy Holdings LLC and, as a result, we depend on distributions from SOLV Energy Holdings LLC to pay our taxes and expenses, including payments under the Tax Receivable Agreement. SOLV Energy Holdings LLC’s ability to make such distributions may be subject to various limitations and restrictions.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we became a holding company and our principal asset is our ownership of LLC Interests. As such, we have no independent means of generating revenue or cash flow, and our ability to pay our taxes and operating expenses or declare and pay dividends in the future, if any, is dependent upon the financial results and cash flows of SOLV Energy Holdings LLC and its subsidiaries and distributions we receive from SOLV Energy Holdings LLC. There can be no assurance that SOLV Energy Holdings LLC and its subsidiaries will generate sufficient cash flow to distribute funds to us or that applicable state law and contractual restrictions, including negative covenants in the agreements governing SOLV Energy Holdings LLC’s and its subsidiaries’ indebtedness, will permit such distributions. Additionally, the terms of the credit agreement governing our New Revolving Credit Facility limit SOLV Energy Holdings LLC and its subsidiaries from making distributions and paying dividends to us, subject to certain exceptions, which includes the making of certain distributions and/or dividends after the consummation of an IPO or the issuance of public debt securities to pay fees and expenses in connection with being a public company. Deterioration in the financial condition, earnings or cash flow of SOLV Energy Holdings LLC and its subsidiaries for any reason could limit or impair their ability to pay such distributions to us, which could have a material adverse effect on our business, cash flows,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any entity level U.S. federal income tax. In connection with the Transactions, SOLV Energy Holdings LLC became a partnership for U.S. federal income tax purposes and is treated as a continuation of SOLV Energy Parent Holdings LP for U.S. federal income tax purposes. As a partnership for U.S. federal income tax purposes, SOLV Energy Holdings LLC is generally not subject to any entity level U.S. federal income tax, and we will incur income taxes on our allocable share of any net taxable income of SOLV Energy Holdings LLC at the prevailing corporate tax rates. Under the terms of the SOLV Energy Holdings LLC Agreement, SOLV Energy Holdings LLC will be obligated, subject to various limitations and restrictions, including with respect to any debt instruments to which SOLV Energy Holdings LLC or any subsidiary thereof is a party, to make tax distributions to members, including us. In addition to tax expenses, we may also incur expenses related to our operations, including payments under the Tax Receivable Agreement (which payments we expect could be significant). For a description of the terms of the Tax Receivable Agreement, see “Item 13. Certain Relationships and Related Transactions, and Director Independence—Tax Receivable Agreement.” We intend, through our control of the managing member, to cause SOLV Energy Holdings LLC to make cash distributions to its members in an amount sufficient to (i) fund all or part of their tax obligations in respect of taxable income allocated to them and (ii) cover our operating expenses, including payments under the Tax Receivable Agreement. However, SOLV Energy Holdings LLC’s ability to make such distributions may be subject to various limitations and restrictions, such as restrictions on distributions that would either violate any contract or agreement to which SOLV Energy Holdings LLC or any subsidiary thereof is then a party, including debt instruments, or any applicable law, or that would have the effect of rendering SOLV Energy Holdings LLC insolvent. If we do not have sufficient funds to pay tax or other liabilities or to fund our operations (including, if applicable, as a result of any payments required to be made under the Tax Receivable Agreement (including in the case of any acceleration of our obligations thereunder)), we may have to borrow funds, which could have a material adverse effect on our liquidity, business, financial condition and results of operations and subject us to various restrictions imposed by any lenders of such funds.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See “Item 13. Certain Relationships and Related Transactions, and Director Independence—Tax Receivable Agreement.” In addition, if SOLV Energy Holdings LLC does not have sufficient funds to make distributions, our ability to declare and pay cash dividends will also be restricted or impaired. See “Risk Factors—Risks Related to the Ownership of Our Class A Common Stock” and “Item 5. Market for Registrant’s Common Equity, Related Shareholder Matters and Issuer Purchases of Equity Securities—Dividend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Holdings LLC may make distributions of cash to us in excess of the amounts we use to make distributions to our stockholders and pay our expenses (including our taxes and payments under the Tax Receivable Agreement). To the extent we do not distribute such excess cash to our stockholders, the direct or indirect members in SOLV Energy Holdings LLC may benefit from any value attributable to such cash if they acquire shares of Class A common stock in exchange for their LLC Interests. </w:t>
      </w:r>
    </w:p>
    <w:p>
      <w:pPr>
        <w:pStyle w:val="TextBody"/>
        <w:bidi w:val="0"/>
        <w:spacing w:before="120" w:after="0"/>
        <w:jc w:val="left"/>
        <w:rPr>
          <w:rFonts w:ascii="Times New Roman" w:hAnsi="Times New Roman"/>
          <w:sz w:val="20"/>
        </w:rPr>
      </w:pPr>
      <w:r>
        <w:rPr>
          <w:rFonts w:ascii="Times New Roman" w:hAnsi="Times New Roman"/>
          <w:sz w:val="20"/>
        </w:rPr>
        <w:t xml:space="preserve">Under the SOLV Energy Holdings LLC Agreement, SOLV Energy Holdings LLC is generally required to make tax distributions, and we intend to cause SOLV Energy Holdings LLC, from time to time, to make such distributions in cash to its members (including us) in amounts that are sufficient to cover such members’ taxes imposed as a result of their allocable share of the taxable income of SOLV Energy Holdings LLC. These tax distributions may be in amounts that exceed our tax liabilities and obligations to make payments under the Tax Receivable Agreement, including as a result of (i) tax distributions being made on a pro rata basis based on percentage interests regardless of potential differences in the amount of net taxable income allocable to us and to SOLV Energy Holdings LLC’s other members, (ii) the lower tax rate applicable to corporations as opposed to individuals, (iii) the use of an assumed tax rate (which will be based on the tax rate applicable to individuals) and (iv) certain tax benefits that we may obtain from, among other things, acquisitions of direct or indirect interests in SOLV Energy Holdings LLC in connection with the consummation of the Transactions or in the future (including as a result of any exchange or redemptions of LLC Interests from the other members of SOLV Energy Holdings LLC) and payments under the Tax Receivable Agreement. Our board of directors determines the appropriate uses for any excess cash so accumulated, which may include, among other uses, the payment of obligations under the Tax Receivable Agreement or the payment of other expenses. We are not obligated to distribute such cash (or other available cash) to our stockholders. To the extent we do not distribute such excess cash as dividends on our Class A common stock, we may take other actions with respect to such excess cash, such as, for example, holding such excess cash, contributing such cash to SOLV Energy Holdings LLC in exchange for additional LLC Interests (or contributing such cash to SOLV Energy Holdings LLC and making corresponding adjustments to other members’ LLC Interests), lending such cash (or a portion thereof) to SOLV Energy Holdings LLC, or repurchasing outstanding shares of our Class A common stock, some of which may result in shares of our Class A common stock increasing in value relative to the value of LLC Interests. No adjustments to the exchange ratio for LLC Interests and corresponding shares of Class A common stock is required to be made as a result of any retention or distribution of cash by us. To the extent that we do not distribute such excess cash as dividends on our Class A common stock or otherwise take ameliorative actions between LLC Interests and shares of Class A common stock and instead, for example, hold such cash balances, members (other than SOLV Energy, Inc.) may benefit from any value attributable to such cash balances if they acquire shares of Class A common stock in exchange for their LLC Interests, notwithstanding that such holders may have participated previously as members in distributions that resulted in such excess cash balances.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Tax Receivable Agreement with the TRA Participants requires us to make cash payments to them in respect of certain tax benefits to which we may become entitled, and we expect that such payments will be substantial.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we entered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(“Basis Adjustments”) or increases in our allocable share of tax basis, in each case, resulting from acquisitions of LLC Interests from Continuing Equity Owners, future redemptions or exchanges (or deemed exchanges in certain circumstances) of LLC Interests for Class A common stock or cash,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We are required to make payments to the TRA Participants under the Tax Receivable Agreement even if all of the Continuing Equity Owners exchange or redeem their remaining LLC Interests, and the payments under the Tax Receivable Agreement are not be conditioned upon continued ownership of our stock by the exchanging Continuing Equity Owners or the Blocker Shareholders and will be assignable in certain circumstances. The payment obligations under the Tax Receivable Agreement are obligations of us and not of SOLV Energy Holdings LLC. Any payments made by us to the TRA Participants under the Tax Receivable Agreement will generally reduce the amount of cash that might have otherwise been available to us for other uses and for the benefit of all our stockholders. Although the actual timing and amount of any payments that we may make under the Tax Receivable Agreement will vary, we expect the payments required to be made to the TRA Participants could be substantial. Estimating the amount of payments that may be made under the Tax Receivable Agreement is by its nature imprecise, insofar as the calculation of amounts payable depends on a variety of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payments made by us to the TRA Participants under the Tax Receivable Agreement will not be available for reinvestment in our business and will generally reduce the amount of overall cash flow that might have otherwise been available to us. The term of the Tax Receivable Agreement will continue until all such tax benefits have been utilized or expired, unless we exercise our right to terminate the Tax Receivable Agreement early, certain changes of control occur (as further described below) or we breach any of our material obligations under the Tax Receivable Agreement,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 (ii) the Secured Overnight Financing Rate (“SOFR”)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Class A common stock at the time of termination,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 control and the apportionment factors with respect to state and local taxes will be calculated based on the apportionment factors applicable in the prior taxable year and (v) certain non-amortizable assets are deemed disposed on the fifteen-year anniversary of the applicable exchange, the date of the IPO, or date of the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interests of the TRA Participants (including those that have exchanged their LLC Interests for Class A common stock and are TRA Participants) may conflict with those of holders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actual covered tax attributes, as well as the amount and timing of any payments under the Tax Receivable Agreement, will vary depending upon a number of factors, including the timing of future redemptions or exchanges, the price of our Class A common stock at the time of the redemption or exchange, the extent to which such redemptions or exchanges are taxable, the amount of (or limitations on) the Blocker Companies’ tax attributes, any changes in tax rates, and the amount and timing of our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organizational structure, including the Tax Receivable Agreement, confers certain benefits upon the TRA Participants that will not benefit holders of our Class A common stock to the same extent that it will benefit the TRA Participants. </w:t>
      </w:r>
    </w:p>
    <w:p>
      <w:pPr>
        <w:pStyle w:val="TextBody"/>
        <w:bidi w:val="0"/>
        <w:spacing w:before="120" w:after="0"/>
        <w:jc w:val="left"/>
        <w:rPr>
          <w:rFonts w:ascii="Times New Roman" w:hAnsi="Times New Roman"/>
          <w:sz w:val="20"/>
        </w:rPr>
      </w:pPr>
      <w:r>
        <w:rPr>
          <w:rFonts w:ascii="Times New Roman" w:hAnsi="Times New Roman"/>
          <w:sz w:val="20"/>
        </w:rPr>
        <w:t xml:space="preserve">Our organizational structure, including the Tax Receivable Agreement, confers certain benefits upon the TRA Participants that will not benefit holders of our Class A common stock to the same extent that it will benefit the TRA Participants. In connection with the Transactions we entered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or distributions (or deemed distributions) to a holder of LLC Interests; and (iv) certain tax benefits (such as interest deductions) arising from payments made under the Tax Receivable Agreement. Although we will generally expect to retain 15% of the amount of such tax benefits, this and other aspects of our organizational structure may adversely impact the future trading market for the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we are a holding company and have no material assets other than our ownership of LLC Interests. As a consequence, our ability to declare and pay dividends to holders of our Class A common stock is subject to the ability of SOLV Energy Holdings LLC to provide distributions to us. If SOLV Energy Holdings LLC makes such distributions, the Continuing Equity Owners that hold LLC Interests will be entitled to receive equivalent distributions from SOLV Energy Holdings LLC on a pro rata basis.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such Continuing Equity Owners on a per unit basis, even if we were to pay cash dividends on our Class A common stock. This and other aspects of our organizational structure may adversely impact the future trading market for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certain cases, payments under the Tax Receivable Agreement to the TRA Participants may be accelerated or significantly exceed any actual benefits we realize in respect of the tax attributes subject to the 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Tax Receivable Agreement, if we exercise our right to terminate the Tax Receivable Agreement early, certain changes of control occur (as further described below) or we breach any of our material obligations under the Tax Receivable Agreement, our obligations under the Tax Receivable Agreement to make payments would be accelerated and based on certain assumptions, including an assumption that we would have sufficient taxable income to fully utilize all potential future tax benefits that are subject to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Thus, under certain circumstances, we may be required to make payments significantly in advance of the actual realization, if any, of any tax benefits covered by the Tax Receivable Agreement. We could also be required to make cash payments to the TRA Participants that are greater than 85%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not be reimbursed for any payments made to the TRA Participants under the Tax Receivable Agreement in the event that any tax benefits are disallowed. </w:t>
      </w:r>
    </w:p>
    <w:p>
      <w:pPr>
        <w:pStyle w:val="TextBody"/>
        <w:bidi w:val="0"/>
        <w:spacing w:before="120" w:after="0"/>
        <w:jc w:val="left"/>
        <w:rPr>
          <w:rFonts w:ascii="Times New Roman" w:hAnsi="Times New Roman"/>
          <w:sz w:val="20"/>
        </w:rPr>
      </w:pPr>
      <w:r>
        <w:rPr>
          <w:rFonts w:ascii="Times New Roman" w:hAnsi="Times New Roman"/>
          <w:sz w:val="20"/>
        </w:rPr>
        <w:t xml:space="preserve">Payments under the Tax Receivable Agreement will generally be based on the tax reporting positions that we determine, and the IRS or another tax authority may challenge all or part of the tax benefits we claim, as well as other related tax positions we take, and a court could sustain such challenge. The Tax Receivable Agreement provides TRA Participants with certain rights in the event of such a challenge. In particular, if the outcome of any challenge to all or part of the covered tax benefits we claim would reasonably be expected to adversely affect the rights and obligations of any TRA Participant under the Tax Receivable Agreement in any material respect, we will not be permitted to settle such challenge without the consent (not to be unreasonably withheld, conditioned or delayed) of the TRA Participants’ representative. We will not be reimbursed for any payments previously made under the Tax Receivable Agreement in the event that any tax benefits initially claimed by us and for which payment has been made are subsequently challenged by a taxing authority and ultimately disallowed. Instead, any excess cash payments made by us to a TRA Participant will be netted against any future cash payments we might otherwise be required to make to such TRA Participant under the terms of the Tax Receivable Agreement. However, we might not determine that we have made an excess cash payment to a TRA Participant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TRA Participant that are the subject of the Tax Receivable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Unanticipated changes in effective tax rates or adverse outcomes resulting from examination of our income or other tax returns could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taxes by the U.S. federal, state and local tax authorities. Our future effective tax rates could be subject to volatility or adversely affected by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allocation of expenses to and among different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valuation of our deferred tax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timing and amount of the release of any tax valuation allowances;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of stock-based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intercompany restructurings;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regulations or interpretations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than anticipated future earnings in jurisdictions where we have lower statutory tax rates and higher than anticipated future earnings in jurisdictions where we have higher statutory tax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be subject to audits of our income, sales and other taxes by U.S. federal, state and local taxing authorities. Outcomes from these audits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SOLV Energy Holdings LLC were to become a publicly traded partnership taxable as a corporation for U.S. federal income tax purposes, we and SOLV Energy Holdings LLC might be subject to potentially significant tax inefficiencies.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operate such that SOLV Energy Holdings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LLC Interests pursuant to the redemption right, or other transfers of LLC Interests, could cause SOLV Energy Holdings LLC to be treated as a publicly traded partnership. Applicable U.S. Treasury regulations provide for certain safe harbors from treatment as a publicly traded partnership. We intend to operate such that redemptions or other transfers of LLC Interests qualify for one or more such safe harbors or are otherwise restricted in a manner that is intended to prevent SOLV Energy Holdings LLC from becoming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SOLV Energy Holdings LLC were to become a publicly traded partnership taxable as a corporation for U.S. federal income tax purposes, significant tax inefficiencies might result for us and for SOLV Energy Holdings LLC, including as a result of the inability to file a consolidated U.S. federal income tax return with SOLV Energy Holdings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were deemed to be an investment company under the Investment Company Act of 1940, as amended, or the 1940 Act, including as a result of our ownership of SOLV Energy Holdings LLC, applicable restrictions could make it impractical for us to continue our business as contemplated and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We and SOLV Energy Holdings LLC intend to conduct our operations so that we will not be deemed an investment company. Through our control of the sole managing member of SOLV Energy Holdings LLC, we will control and operate SOLV Energy Holdings LLC. On that basis, we believe that our interest in SOLV Energy Holdings LLC is not an “investment security” as that term is used in the 1940 Act. However, if we were to cease participation in the management of SOLV Energy Holdings LLC, or if SOLV Energy Holdings LLC itself becomes an investment company, our interest in SOLV Energy Holdings LLC could be deemed an “investment security” for purposes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Sponsor has significant influence over us. </w:t>
      </w:r>
    </w:p>
    <w:p>
      <w:pPr>
        <w:pStyle w:val="TextBody"/>
        <w:bidi w:val="0"/>
        <w:spacing w:before="120" w:after="0"/>
        <w:jc w:val="left"/>
        <w:rPr>
          <w:rFonts w:ascii="Times New Roman" w:hAnsi="Times New Roman"/>
          <w:sz w:val="20"/>
        </w:rPr>
      </w:pPr>
      <w:r>
        <w:rPr>
          <w:rFonts w:ascii="Times New Roman" w:hAnsi="Times New Roman"/>
          <w:sz w:val="20"/>
        </w:rPr>
        <w:t xml:space="preserve">Our Sponsor beneficially owns 73.9% of our outstanding capital stock and holds 73.9% of the voting power of our outstanding capital stock. As long as our Sponsor owns or controls a significant percentage of our outstanding voting power, it has the ability to significantly influence all corporate actions requiring stockholder approval, including the election and removal of directors and the size of our board of directors, any amendment to our organizational documents, or the approval of any merger or other significant corporate transaction, including a sale of substantially all of our assets. Our Sponsor’s influence over our management could have the effect of delaying or preventing a change in control or otherwise discouraging a potential acquirer from attempting to obtain control of us, which could cause the market price of our Class A common stock to decline. Because our amended and restated certificate of incorporation contains provisions that have the same effect as Section 203 of the General Corporation Law of the State of Delaware (the “DGCL”) regulating certain business combinations with interested stockholders, but provides that our Sponsor or its affiliates or transferees do not constitute an interested stockholder, our Sponsor may transfer shares to a third party by transferring their common stock without the approval of our board of directors or other stockholders, which may limit the price that investors are willing to pay in the future for shares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Sponsor’s interests may not align with our interests as a company or the interests of our other stockholders. For example, our Sponsor may have a different tax position from us (especially in light of the Tax Receivable Agreement), which could influence our Sponsor’s and our decisions regarding whether and when we should dispose of assets, incur or refinance existing indebtedness, undergo certain changes of control, terminate the Tax Receivable Agreement or undertake actions that would result in the acceleration of any obligations thereunder. The structuring of future transactions may take into account these tax or other considerations even where no corresponding benefit would accrue to us. Accordingly, our Sponsor could cause us to enter into transactions or agreements of which our stockholders would not approve or make decisions with which our stockholders would disagree. Further, our Sponsor is in the business of making investments in companies and may acquire and hold interests in businesses that compete directly or indirectly with us. Our Sponsor may also pursue acquisition opportunities that may be complementary to our business, and, as a result, those acquisition opportunities may not be available to us. In recognition that principals, members, directors, managers, partners, stockholders, officers, employees and other representatives of our Sponsor and its affiliates and investment funds may serve as our directors or officers, our amended and restated certificate of incorporation provides, among other things, that none of our Sponsor or any of our directors who are employees of or affiliated with our Sponsor has any duty to refrain from engaging directly or indirectly in the same or similar business activities or lines of business that we do. In the event that any of these persons or entities acquires knowledge of a potential transaction or matter which may be a corporate opportunity for itself and us, we will not have any expectancy in such corporate opportunity, and these persons and entities will not have any duty to communicate or offer such corporate opportunity to us and may pursue or acquire such corporate opportunity for themselves or direct such opportunity to another person. So long as our Sponsor continues to directly or indirectly own a significant amount of our common stock, even if such amount is less than the majority thereof, our Sponsor will continue to be able to substantially influence or effectively control our ability to enter into corporate transactions. These potential conflicts of interest could have a material adverse effect on our business, financial condition and results of operations if, among other things, attractive corporate opportunities are allocated by our Sponsor to itself or its other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has not previously managed a public company in their current roles.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IPO, certain of the individuals who constitute our management had not previously managed a publicly traded company in their current roles. Compliance with public company requirements places significant additional demands on our management and requires us to enhance our investor relations, legal, financial and tax reporting, internal audit, legal, governance, investor relations and corporate communications functions. These additional demands may strain our resources and divert management’s attention from other business concerns,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qualify as a “controlled company,” as defined in Nasdaq listing rules, and, as a result, we qualify for, and may rely on, exemptions from certain corporate governance requirements. Our stockholders may not have the same protections afforded to stockholders of companies that are subject to such requirements. In addition, our Sponsor’s interests may conflict with our interests and the interests of other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Sponsor controls more than 50% of the voting power for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result, we qualify as a “controlled company” within the meaning of the Nasdaq corporate governance standards. Under the rules of Nasdaq, a company of which more than 50% of the outstanding voting power in the election of directors is held by an individual, group or another company is a “controlled company” and may elect not to comply with certain Nasdaq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consists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 nominating and corporate governance committee be composed entirely of independent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 compensation committee be composed entirely of independent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qualify as a “controlled company,” we do not currently rely on these exemptions and we fully comply with all corporate governance requirements under the listing standards of Nasdaq. However, we reserve the right to utilize the “controlled company” exemption in the future. Accordingly, our stockholders may not have the same protections afforded to stockholders of companies that are subject to all of the stock exchange corporate governance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Sponsor’s interests may conflict with our interests and the interests of other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and anti-takeover provisions in our governing documents, as well as our existing and future debt agreements, could make an acquisition of our company more difficult, limit attempts by our stockholders to replace or remove our current directors and may deprive our investors of the opportunity to receive a premium for their shares.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amended and restated bylaws and Delaware law contain provisions that have the effect of rendering more difficult, delaying or preventing a third party from, acquiring control of us without the approval of our board of directors. Among other things,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terms that have the same effect as DGCL Section 203 but such provisions will not apply to our Sponsor, its affiliates or its transferees;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classified board of directors with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issuance of “blank check” preferred stock, the terms of which are established by our board of directors without any need for action by stockholders, that could be used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permit stockholders to call special meetings of stockholders except for when our Sponsor owns at least 50% of the combined voting power of all of our then-outstanding shares of capital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permit stockholders to act by written consent except for when our Sponsor owns at least 50% of the combined voting of all of our then-outstanding shares of capital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procedures, which apply for stockholders to nominate candidates for election to our board of directors or for proposing matters that can be acted on by stockholders at stockholder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our credit agreements impose, and we anticipate that documents governing our future indebtedness may impose, limitations on our ability to enter into change of control transactions. The occurrence of a change of control transaction could constitute an event of default thereunder and permit acceleration of the indebtedness, thereby impeding our ability to enter into certain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factors, as well as the significant common stock ownership by our Sponsor, could discourage, delay, or prevent a transaction involving a change in control of the Company, which could limit the opportunity for our stockholders to receive a premium for their shares of our Class A common stock and could also affect the price that some investors are willing to pay for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any cash distributions or dividends on our Class A common stock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intend to pay any dividends on our Class A common stock, and our ability to pay dividends in the future may be restricted or limited by the terms of our existing or future indebtedness. We may also enter into other credit agreements or other borrowing arrangements in the future that restrict or limit our ability to pay dividends on our Class A common stock. As a result, our stockholders may not receive any return on an investment in our Class A common stock unless they sell our Class A common stock for a price greater than that which they paid for it. See “Item 5. Market for Registrant’s Common Equity, Related Shareholder Matters and Issuer Purchases of Equity Securities—Dividend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us or our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subject to certain exceptions, unless we consent in writing in advance to the selection of an alternative forum, the Court of Chancery of the State of Delaware will be the sole and exclusive forum for any (i) derivative action or proceeding brought on our behalf, (ii) action asserting a claim of breach of a fiduciary duty owed by any current or former director, officer, or other employee to us or our stockholders, (iii) action asserting a claim against the Company or any of its directors, officers or other employees arising pursuant to any provision of the DGCL, our amended and restated certificate of incorporation or our amended and restated bylaws or as to which the DGCL confers jurisdiction on the Court of Chancery of the State of Delaware (iv) any action asserting a claim against the Company or any of its directors, officers, or other employees governed by the internal affairs doctrine of the law of the State of Delaware or (v) any other action asserting an “internal corporate claim,” as defined in Section 115 of the DGCL, in all cases subject to the court’s having personal jurisdiction over all indispensable parties named as defendants. Pursuant to the Securities Exchange Act of 1934, as amended (the “Exchange Act”), claims or causes of action arising thereunder must be brought in federal district courts of the United States. The exclusive forum provision provides that the provision will not apply to claims or causes of action arising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an alternative forum, the federal district courts of the United States are the sole and exclusive forum for the resolution of any action asserting a claim arising under the Securities Act of 1933, as amended (the “Securities Act”) or the rules and regulations thereunder.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such a provision. By agreeing to this provision, however, stockholders will not be deemed to have waived our compliance with the federal securities laws and the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choice of forum provisions may limit a stockholder’s ability to bring a claim in a judicial forum that it finds favorable for disputes with us or our directors, officers, employees or other stockholders, which may discourage such lawsuits. While the Delaware courts have determined that such choice of forum provisions are facially valid, a stockholder may nevertheless seek to bring an action in a venue other than those designated in the exclusive forum provisions. In such instance, we would expect to assert the validity and enforceability of our exclusive forum provisions, which may require significant additional costs associated with resolving such action in other jurisdictions, and there can be no assurance that the provisions will be enforced by a court in those other jurisdictions. If a court were to find that the exclusive forum provision in our amended and restated certificate of incorporation to be inapplicable or unenforceable in an action, we may incur further significant additional costs associated with resolving the dispute in other jurisdictions,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we will indemnify our directors and officers, in each case, to the fullest extent permitted by Delaware law. Pursuant to our certificate of incorporation, our directors and officers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DGCL, which provides for liability of directors for unlawful payments of dividends or unlawful stock purchase or redemption, (iv) for any transaction from which the director or officer derived an improper personal benefit or (v) with respect to officers, any action brought in the right of the corporation. Our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in our audited consolidated financial statements included elsewhere in this Annual Report, our control environment did not meet the standards required for financial reporting as a public company. Since the conclusion of our transition services agreements with our former parent, Swinerton, in 2022, we have been developing our financial reporting processes and hiring personnel. However, during this time, we lacked the formalized business processes and internal controls necessary to ensure reliable financial reporting. These deficiencies contributed to material weaknesses in internal control over financial reporting which were identified in connection with the audit of such consolidated financial statements.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that we identified included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 as well as controls pertaining to completeness and accuracy of indirect tax accruals on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 obligation disclosures. Further, we did not have sufficient personnel with an appropriate level of technical accounting knowledge to review our revenue recognition conclusions.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effective controls over the review of third-party analyses to determine fair value for purposes of goodwill impairment assessments, business combinations and equity award valuations, including review of significant assumptions and valuation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IT general controls related to user access, change management, segregation of duties, and system operations within all IT systems and applications deemed relevant to our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Considering the foregoing, we did not maintain sufficient resources to support effective internal control over financial reporting, including personnel with an appropriate level of technical accounting and public company reporting expertise. In addition, we did not select and develop effective control activities across relevant financial reporting processes, including control activities over technology and generation of data, did not establish and deploy adequate policies and procedures and did not adequately capture and communicate certain risks or impacts due to changes in risks to support the execution of control activities. Accordingly, management concluded that these deficiencies in entity level controls also constitute a material weakness. </w:t>
      </w:r>
    </w:p>
    <w:p>
      <w:pPr>
        <w:pStyle w:val="TextBody"/>
        <w:bidi w:val="0"/>
        <w:spacing w:before="240" w:after="0"/>
        <w:jc w:val="left"/>
        <w:rPr>
          <w:rFonts w:ascii="Times New Roman" w:hAnsi="Times New Roman"/>
          <w:sz w:val="20"/>
        </w:rPr>
      </w:pPr>
      <w:r>
        <w:rPr>
          <w:rFonts w:ascii="Times New Roman" w:hAnsi="Times New Roman"/>
          <w:sz w:val="20"/>
        </w:rPr>
        <w:t xml:space="preserve">We have made progress in executing our remediation plan and are continuing to enhance our control environment. While we are committed to completing our remediation efforts as quickly as possible and investing in the personnel, processes and systems necessary to maintain an effective internal control over financial reporting, these efforts are ongoing and will require validation and testing of the design and operating effectiveness of internal controls over a sustained period of financial reporting cycles. We cannot be certain that such measures will successfully remediate the material weaknesses or that other material weaknesses and control deficiencies will not be discovered in the future. If the steps we take do not correct the material weaknesses in a timely manner, we will be unable to conclude that we maintain effective internal control over financial reporting. See “Item 9A. Controls and Procedures” for additional information on the material weaknesses and our remediation measures.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are required to comply with the Sarbanes-Oxley Act of 2002 (the “Sarbanes-Oxley Act”), which requires our management to certify financial and other information in our quarterly and annual reports and provide an annual management report on the effectiveness of our internal control over financial reporting commencing with our second annual report after the IPO. In addition, our independent registered public accounting firm needs to attest to the effectiveness of our internal control over financial reporting commencing with our third annual report after the IPO. To achieve compliance with the Sarbanes-Oxley Act within the prescribed period, we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remediate any material weaknesses prior to the deadline imposed by Section 404(a) of the Sarbanes-Oxley Act for management’s assessment of internal control over financial reporting. The failure to achieve and maintain effective internal control over financial reporting could have a material adverse effect on our business, financial condition and results of operations. In the event that we are not able to successfully remediate the existing material weaknesses in our internal control over financial reporting or identify additional material weaknesses, or if our internal control over financial reporting is perceived as inadequate or it is perceived that we are unable to produce timely or accurate consolidated financial statements, investors may lose confidence in our results of operations, the price of our Class A common stock could decline, we could become subject to investigations by Nasdaq, the SEC or other regulatory agencies, which could require additional financial and management resources, or our Class A common stock may not be able to remain listed on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Class A common stock relies in part on the research and reports that industry or financial analysts publish about us or our business. If one or more of the analysts covering our business downgrade their evaluations of our stock, the price of our Class A common stock could decline. If one or more of these analysts cease to cover our Class A common stock, we could lose visibility in the market for our stock, which in turn could cause our Class A common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Being a public company increases our compliance costs significantly and requires the expansion and enhancement of a variety of financial and management control systems and infrastructure and the hiring of significant additional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Prior to the IPO, we were not subject to the reporting requirements of the Exchange Act, the Sarbanes-Oxley Act, the Dodd-Frank Wall Street Reform and Consumer Protection Act of 2010 (the “Dodd-Frank Act”) or the other rules and regulations of the SEC, or any securities exchange relating to public companies. We have worked, and are continuing to work, 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Further, we have incurred and will continue to incur expenses as a result. The expenses required in order to operate as a public company could be material. Compliance with the various reporting and other requirements applicable to public companies requires considerable time and attention of management and requires us to successfully hire and integrate a significant number of additional qualified personnel into our existing finance, legal, human resources and operations departments.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requirements of being a public company may strain our resources, divert management’s attention and affect our ability to attract and retain qualified board members and officers, which may divert from our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subject to the reporting requirements of the Exchange Act, the listing requirements of Nasdaq and other applicable securities rules and regulations. Compliance with these rules and regulations increases our legal and financial compliance costs, makes some activities more difficult, time-consuming or costly and increases demand on our systems, resources and employees. The Exchange Act requires, among other things, that we file annual, quarterly and current reports with respect to our business and results of operations and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have a material adverse effect on our business, financial condition and results of operations. Although we have already hired additional employees in preparation for these heightened requirements, we may need to hire more employees in the future, which would increase our costs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Being a public company makes it more expensive for us to obtain director and officer liability insurance, and we may have to choose between reduced coverage and substantially higher costs to obtain coverage. These factors could make it more difficult for us to attract and retain qualified executive officers and members of our board of directors, particularly to serve on our audit committee and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by us or our existing stockholders in the public market could cause the market price for our Class A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Transactions, we had a total of 115,348,571 outstanding shares of Class A common stock. Of the outstanding shares, the 23,575,000 shares sold in the IPO are freely tradable without restriction or further registration under the Securities Act, other than any shares held by our affiliates. In addition, the 91,573,571 shares of Class A common stock issued to the Blocker Shareholders in the Transactions are eligible for resale pursuant to Rule 144 without restriction or further registration under the Securities Act, other than affiliate restrictions under Rule 144. Any shares of Class A common stock held by our affiliates are eligible for resale pursuant to Rule 144 under the Securities Act, subject to the volume, manner of sale, holding period and other limitations of Rule 144. </w:t>
      </w:r>
    </w:p>
    <w:p>
      <w:pPr>
        <w:pStyle w:val="TextBody"/>
        <w:bidi w:val="0"/>
        <w:spacing w:before="240" w:after="0"/>
        <w:jc w:val="left"/>
        <w:rPr>
          <w:rFonts w:ascii="Times New Roman" w:hAnsi="Times New Roman"/>
          <w:sz w:val="20"/>
        </w:rPr>
      </w:pPr>
      <w:r>
        <w:rPr>
          <w:rFonts w:ascii="Times New Roman" w:hAnsi="Times New Roman"/>
          <w:sz w:val="20"/>
        </w:rPr>
        <w:t xml:space="preserve">Our directors, executive officers, Sponsor and our other Continuing Equity Owners entered into lock-up agreements with the underwriters prior to the IPO that, subject to certain exceptions, restrict the sale of the shares of our Class A common stock and certain other securities held by them for a period of 180 days after the IPO. Upon the expiration of the lock-up agreements, shares held by our directors, executive officers, our Sponsor and our other Continuing Equity Owners will be eligible for resale in the public market subject, in the case of shares held by our affiliates, to the volume, manner of sale, holding period and other limitations of Rule 144. Jefferies LLC and J.P. Morgan Securities LLC may, in their sole discretion and at any time without notice, release all or any portion of the shares or securities subject to any such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Registration Rights Agreement, our Sponsor has certain registration rights, including the right, subject to certain conditions, to require us to register the offer and sale of its shares of our Class A common stock under the Securities Act (including shares of Class A common stock issuable upon exchange of LLC Interests). The shares of Class A common stock covered by registration rights represent approximately 81.7% of our outstanding Class A common stock. Registration of any of these outstanding shares of Class A common stock or shares of Class A common stock issuable upon exchange of LLC Interests would result in such shares becoming freely tradable without compliance with Rule 144 upon effectiveness of the registration statement. See “Item 13. Certain Relationships and Related Transactions, and Director Independence” for a description of these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Exercise of such registration rights and any subsequent sales of a large number of shares of our Class A common stock by our Sponsor could cause the prevailing market price of our Class A common stock to decline. Subject to the lock-up agreement, the Registration Rights Agreement and applicable law, our Sponsor will determine the timing and amount of such sales, and such sales could be executed by our Sponsor at a time or times that otherwise may not align with our interests and the interests of our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our stockholders, or may adversely impact the price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stock price may decline or may be subject to significant volatility.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Class A common stock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our stockholders could lose all or part of their investment. Some of the factors that could negatively affect our share price or result in fluctuations in the price or trading volume of our Class A common stock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earnings estimates (if provided) or differences between our actual results of operations and those expected by investors and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contents of published research reports about us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increased indebtedness we may incur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others and developments affecting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institutional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governmental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or regulatory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judicial pronouncements interpreting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speculation or reports by the press or investment community with respect to us or our industry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contracts, acquisitions, dispositions, strategic relationships,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response to rights granted to our Sponsor pursuant to our amended and restated certificate of incorporation;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political and economic conditions, including local conditions in the markets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bookmarkStart w:id="6" w:name="toc31834_3"/>
            <w:bookmarkEnd w:id="6"/>
            <w:r>
              <w:rPr>
                <w:b/>
              </w:rPr>
              <w:t>ITEM 1B.</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bookmarkStart w:id="7" w:name="toc31834_4"/>
            <w:bookmarkEnd w:id="7"/>
            <w:r>
              <w:rPr>
                <w:b/>
              </w:rPr>
              <w:t>ITEM 1C.</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CYBERSECURITY.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Risk Management and Strategy </w:t>
      </w:r>
    </w:p>
    <w:p>
      <w:pPr>
        <w:pStyle w:val="TextBody"/>
        <w:bidi w:val="0"/>
        <w:spacing w:before="120" w:after="0"/>
        <w:jc w:val="left"/>
        <w:rPr>
          <w:rFonts w:ascii="Times New Roman" w:hAnsi="Times New Roman"/>
          <w:sz w:val="20"/>
        </w:rPr>
      </w:pPr>
      <w:r>
        <w:rPr>
          <w:rFonts w:ascii="Times New Roman" w:hAnsi="Times New Roman"/>
          <w:sz w:val="20"/>
        </w:rPr>
        <w:t xml:space="preserve">We rely on information technology and data to operate our business effectively and recognize the importance of implementing and maintaining cybersecurity systems and processes that allow us to protect the confidentiality, integrity, availability and use of our information systems and the data residing within them. </w:t>
      </w:r>
    </w:p>
    <w:p>
      <w:pPr>
        <w:pStyle w:val="TextBody"/>
        <w:bidi w:val="0"/>
        <w:spacing w:before="240" w:after="0"/>
        <w:jc w:val="left"/>
        <w:rPr>
          <w:rFonts w:ascii="Times New Roman" w:hAnsi="Times New Roman"/>
          <w:sz w:val="20"/>
        </w:rPr>
      </w:pPr>
      <w:r>
        <w:rPr>
          <w:rFonts w:ascii="Times New Roman" w:hAnsi="Times New Roman"/>
          <w:sz w:val="20"/>
        </w:rPr>
        <w:t xml:space="preserve">We maintain a comprehensive cybersecurity risk program to effectively identify, assess, manage, and respond to cybersecurity risks and incidents within our Information Technology (“IT”) and Operational Technology (“OT”) environments. Our program is integrated into our broader enterprise risk management strategy and is informed by industry recognized standards, including the NIST Cybersecurity Framework and the NERC CIP reliability standards, to which the Company is subject to as an operator of a Medium Impact Control Center. Our program is implemented and maintained by in-house personnel with direct experience across IT and OT cybersecurity fields, NERC CIP Compliance and is further enhanced by external third-party advisors and, where appropriate independent assessors to supplement our internal capabilities and to evaluate the effectiveness of our controls. </w:t>
      </w:r>
    </w:p>
    <w:p>
      <w:pPr>
        <w:pStyle w:val="TextBody"/>
        <w:bidi w:val="0"/>
        <w:spacing w:before="240" w:after="0"/>
        <w:jc w:val="left"/>
        <w:rPr>
          <w:rFonts w:ascii="Times New Roman" w:hAnsi="Times New Roman"/>
          <w:sz w:val="20"/>
        </w:rPr>
      </w:pPr>
      <w:r>
        <w:rPr>
          <w:rFonts w:ascii="Times New Roman" w:hAnsi="Times New Roman"/>
          <w:sz w:val="20"/>
        </w:rPr>
        <w:t xml:space="preserve">Key elements of our cybersecurity risk management program include regular and thorough risk assessments to identify potential cybersecurity threats across our IT and OT environments, the implementation of appropriate multi-layered security controls and advanced monitoring systems, third party and supply chain risk assessments, data backup and recovery strategy, comprehensive incident response plan, and comprehensive employee cybersecurity awareness training and education programs provided upon hire as well as throughout the year. Additionally, our team is actively engaged with the intelligence community and industry working groups to stay informed on latest cyber trends and threat actors targeting critical infrastructure.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reviews and oversees our cybersecurity risk management program through the Audit Committee. Our management team, including our Chief Technology Officer, provides periodic updates on cybersecurity matters, including on strategic, operational, privacy, data security and cybersecurity risks as well as internal information and control systems, to the Audit Committee, which reviews and discusses them with our board of directors periodically and on as needed basis. Our Chief Technology Officer has primary responsibility for assessing and managing cybersecurity risks and leading our overall cybersecurity program, including the engagement of external third parties to assist us. Our Chief Technology Officer has 10 years of experience in the fields of OT environments, IT environments, and cybersecurity.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Risks from Cybersecurity Threats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Annual Report, we are not aware of any previous cybersecurity incidents that have materially affected or are reasonably likely to materially affect the Company, including our business strategy, results of operations and financial condition. However, because cybersecurity threats are continually evolving, and through the normal course of business we are subject to ongoing threats and breach attempts, the possibility of future cybersecurity incidents, material or otherwise, remains. Despite the implementation of our cybersecurity processes, our security measures cannot guarantee that a significant cybersecurity incident will not occur. While we devote resources to our security measures designed to protect our systems and information, no security measure is infallible. For more information about the cybersecurity risks we face, refer to “Item 1A. Risk Factors” in this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bookmarkStart w:id="8" w:name="toc31834_5"/>
            <w:bookmarkEnd w:id="8"/>
            <w:r>
              <w:rPr>
                <w:b/>
              </w:rPr>
              <w:t>ITEM 2.</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San Diego, CA. We currently operate out of 15 regional locations including our San Diego office, all of which are leased. Our OCC is located in our San Diego headquarters and is staffed 24-7 and complies with all NERC CIP standards. We are currently implementing a back-up control center in our Bend, OR facility that can be operated remotely. We believe that our existing facilities are adequate for our current requirements and that comparable or alternative space is readily available to accommodate our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bookmarkStart w:id="9" w:name="toc31834_6"/>
            <w:bookmarkEnd w:id="9"/>
            <w:r>
              <w:rPr>
                <w:b/>
              </w:rPr>
              <w:t>ITEM 3.</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are not currently a party to any actions the outcome of which would, individually or in the aggregate, have a material adverse effect on our business, financial condition or results of operations if determined adversely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bookmarkStart w:id="10" w:name="toc31834_7"/>
            <w:bookmarkEnd w:id="10"/>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31834_27"/>
      <w:bookmarkEnd w:id="11"/>
      <w:r>
        <w:rPr>
          <w:rFonts w:ascii="Times New Roman" w:hAnsi="Times New Roman"/>
          <w:b/>
          <w:sz w:val="20"/>
        </w:rPr>
        <w:t xml:space="preserve">PART 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bookmarkStart w:id="12" w:name="toc31834_8"/>
            <w:bookmarkEnd w:id="12"/>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MARKET FOR REGISTRANT’S COMMON EQUITY, RELATED SHAREHOLDER MATTERS AND ISSUER PURCHASES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Shares of our Class A common stock are listed on the Nasdaq Global Select Market under the symbol “MWH.” There is no established public trading market for our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of March 24, 2026, we had four holders of record of our Class A common stock. This does not include the number of stockholders that hold shares in “street-name” through banks or broker-dealers. As of March 24, 2026, we had 14 holders of record of our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Our 2026 Equity Incentive Plan (the “2026 Plan”) governs equity awards to employees, officers, non-employee directors, consultants and other personal service providers to the Company. The 2026 Plan reserves a total of 7,500,000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will be reduced by one share for each share subject to an award. On the first day of each fiscal year of the Company, commencing on the first January 1 following the effective date of the 2026 Plan and ending on (and including) the January 1 immediately following the ninth anniversary of the effective date of the 2026 Plan, the aggregate number of shares that may be issued under the 2026 Plan will automatically be increased by a number equal to 3% of the total number of shares actually issued and outstanding on the last day of the preceding fiscal year; provided, however, that the Board may act prior to January 1st of a given year to provide that the increase for such year will be a lesser number of shares. If any award granted under the 2026 Plan is cancelled, expired, forfeited, or surrendered without consideration or otherwise terminated without delivery of the shares to the participant, then such unissued shares will be returned to the 2026 Plan and be available for future awards under the 2026 Plan. For more information concerning common stock issuances with respect to the 2026 Plan, see “Item 11. Executive Compensation—2026 Equity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net proceeds from the IPO were approximately $552.5 million. We used the net proceeds that we received from the IPO to purchase 23,575,000 LLC Interests from SOLV Energy Holdings LLC at a price per LLC Interest equal to the IPO price of our Class A common stock,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turn, we caused SOLV Energy Holdings LLC to use the net proceeds it received from us in connection with the IPO to repay in full approximately $405.6 million of amounts due upon repayment under the Term Loans, and, with respect to the remainder, for general corporate purposes, which could include growth initiatives, including potential merger and acquisition opportunities. However, there are no agreements or commitments for any material growth initiatives, mergers or acquisitions as of the date of this Annual Report. Further, there has been no material change in the expected use of the net proceeds from the IPO.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intend to pay cash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pay dividends is currently subject to the restrictions specified by the terms of the credit agreement governing our New Revolving Credit Facility and may be further restricted by any future indebtedness we incur.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that does not conduct any business operations of our own and has no material assets other than its direct and indirect ownership of LLC Interests. As a result, our ability to pay dividends on our Class A common stock, if our board of directors determines to do so, is dependent upon the ability of SOLV Energy Holdings LLC to pay cash dividends and distributions to us. SOLV Energy Holdings LLC’s ability to pay cash dividends and distributions to us is currently restricted by the terms of the credit agreement governing our New Revolving Credit Facility and may be further restricted by any future indebtedness we may incur. </w:t>
      </w:r>
    </w:p>
    <w:p>
      <w:pPr>
        <w:pStyle w:val="TextBody"/>
        <w:bidi w:val="0"/>
        <w:spacing w:before="240" w:after="0"/>
        <w:jc w:val="left"/>
        <w:rPr>
          <w:rFonts w:ascii="Times New Roman" w:hAnsi="Times New Roman"/>
          <w:sz w:val="20"/>
        </w:rPr>
      </w:pPr>
      <w:r>
        <w:rPr>
          <w:rFonts w:ascii="Times New Roman" w:hAnsi="Times New Roman"/>
          <w:sz w:val="20"/>
        </w:rPr>
        <w:t xml:space="preserve">If SOLV Energy Holdings LLC makes such distributions, the holders of LLC Interests will be entitled to receive equivalent distributions from SOLV Energy Holdings LLC.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the other holders of LLC Interests on a per unit basis, even if we were to pay cash dividends on our Class A common stock. See “Item 13. Certain Relationships and Related Transactions, and 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Under the SOLV Energy Holdings LLC Agreement, SOLV Energy Holdings LLC is generally required from time to time to make pro rata distributions in cash to us and the other holders of LLC Interests at an assumed tax rate (based on the highest combined marginal rate applicable to individuals) in amounts that are at least sufficient to cover the income taxes payable on our and the other LLC Interest holders’ respective allocable shares of the taxable income of SOLV Energy Holdings LLC.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Interests from SOLV Energy Holdings LLC at a per unit price determined by reference to the market value of the Class A common stock; paying dividends, which may include special dividends, on its Class A common stock; or any combination of the foregoing. We are not obligated to distribute such cash (or other available cash) to our stockholders. We also expect, if necessary, to undertake ameliorative actions, which may include pro rata or non-pro rata reclassifications, combinations, subdivisions or adjustments of outstanding LLC Interests, to maintain a one-to-one ratio between LLC Interests and shares of Class A common stock. See “Item 1A. Risk Factors—Risks Related to Our Organizational Structure—Our principal asset is our direct or indirect interest in SOLV Energy Holdings LLC and, as a result, we depend on distributions from SOLV Energy Holdings LLC to pay our taxes and expenses, including payments under the Tax Receivable Agreement. SOLV Energy Holdings LLC’s ability to make such distributions may be subject to various limitations and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Issuer Purchases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bookmarkStart w:id="13" w:name="toc31834_9"/>
            <w:bookmarkEnd w:id="13"/>
            <w:r>
              <w:rPr>
                <w:b/>
              </w:rPr>
              <w:t>ITEM 6.</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bookmarkStart w:id="14" w:name="toc31834_10"/>
            <w:bookmarkEnd w:id="14"/>
            <w:r>
              <w:rPr>
                <w:b/>
              </w:rPr>
              <w:t>ITEM 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following is a discussion and analysis of our financial condition and results of operations as of December 31, 2025, and should be read in conjunction with our audited consolidated financial statements and notes thereto in “Item 8. Financial Statements and Supplementary Data” of this Annual Report.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“Item 1A. Risk Factors” of this Annual Report and “Cautionary Note Regarding Forward-Looking Statements.” Our actual results may differ materially from those contained in or implied by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specialize in designing, building and maintaining utility-scale solar and battery storage projects and related T&amp;D infrastructure. Our customers include project developers, independent power producers and utilities. Our new construction projects are typically executed over 12 to 18 months pursuant to LNTP agreements followed by a lump-sum EPC contract. We provide O&amp;M services pursuant to long-term contracts that typically obligate the customer to pay us a fixed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we merged with ASP Endeavor Acquisition LLC, the parent company of CS Energy, LLC and CS Energy Devco, LLC. The CS Merger was considered a merger between entities under common control. Due to the common control ownership of SOLV Energy Holdings LLC and CS Energy, LLC and CS Energy Devco, LLC since 2021, the historical financial information of SOLV Energy Holdings LLC was recast similar to the pooling of interest method and retrospectively adjusted for all periods presented to reflect the combined results of operations, financial position and cash flow of both entities as if the merger had occurred at the earliest period presented,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2025, we acquired 100% of the ownership interests in SDI, a solar predrill and pile foundation installation contractor based in Sacramento, California. The aggregate consideration for the acquisition was approximately $16.9 million, of which approximately $11.2 million was paid in cash at closing, and $5.5 million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On June 13, 2025, we acquired 100% of the ownership interests in Spartan Infrastructure, a provider of T&amp;D infrastructure services. The aggregate consideration for the acquisition was approximately $67.0 million, which excludes working capital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IPO </w:t>
      </w:r>
    </w:p>
    <w:p>
      <w:pPr>
        <w:pStyle w:val="TextBody"/>
        <w:bidi w:val="0"/>
        <w:spacing w:before="120" w:after="0"/>
        <w:jc w:val="left"/>
        <w:rPr>
          <w:rFonts w:ascii="Times New Roman" w:hAnsi="Times New Roman"/>
          <w:sz w:val="20"/>
        </w:rPr>
      </w:pPr>
      <w:r>
        <w:rPr>
          <w:rFonts w:ascii="Times New Roman" w:hAnsi="Times New Roman"/>
          <w:sz w:val="20"/>
        </w:rPr>
        <w:t xml:space="preserve">We completed the IPO on February 12, 2026, in which we issued and sold 23,575,000 shares of the Class A common stock at a price of $25.00 per share, resulting in gross proceeds to us approximately $589.4 million and net proceeds to us of approximately $552.5 million, after deducting the underwriting discounts and commissions of approximately $36.9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results of operations discussed in this Annual Report are those of SOLV Energy Holdings LLC prior to the completion of the Transactions, including the IPO. As a result, the historical consolidated financial data may not give you an accurate indication of what our actual results would have been if the transactions described in “The Transactions” had been completed at the beginning of the periods presented or of what our future results of operations are likely to be. See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Unit Redemption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2025, SOLV Energy Parent Holdings LP redeemed the units held by a minority investor in exchange for a $112.5 million note secured by a first priority lien on all of SOLV Energy Parent Holdings LP’s assets, including its equity interests in SOLV Energy Holdings LLC. The $112.5 million note was settled on January 6, 2026 using cash on hand distributed upstream to SOLV Energy Parent Holdings LP from SOLV Energy Holdings LLC. In connection with the redemption, SOLV Energy Holdings LLC entered into a loan agreement (the “AS Loan Agreement”), with the affiliated funds of American Securities (the “AS Loan Parties”).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AS Loan Agreement, the AS Loan Parties agreed to provide a commitment of up to $115.0 million in exchange for a commitment fee of $0.1 million. SOLV Energy Holdings LLC did not draw any amounts under the AS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AS Loan Agreement was terminated on February 12, 2026 at the closing of the IPO.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Our revenues, profit, margins and other results of operations can be influenced by a variety of factors in any given period, including those described under “Item 1A. Risk Factors” of this Annual Report, and those factors have caused fluctuations in our results in the past and are expected to cause fluctuations in our results of operations in the future. Additional information with respect to such factors is provided below. </w:t>
      </w:r>
    </w:p>
    <w:p>
      <w:pPr>
        <w:pStyle w:val="TextBody"/>
        <w:bidi w:val="0"/>
        <w:spacing w:before="240" w:after="0"/>
        <w:jc w:val="left"/>
        <w:rPr>
          <w:rFonts w:ascii="Times New Roman" w:hAnsi="Times New Roman"/>
          <w:sz w:val="20"/>
        </w:rPr>
      </w:pPr>
      <w:r>
        <w:rPr>
          <w:rFonts w:ascii="Times New Roman" w:hAnsi="Times New Roman"/>
          <w:i/>
          <w:sz w:val="20"/>
        </w:rPr>
        <w:t>Seasonal and Severe Weather Conditions</w:t>
      </w:r>
      <w:r>
        <w:rPr>
          <w:rFonts w:ascii="Times New Roman" w:hAnsi="Times New Roman"/>
          <w:sz w:val="20"/>
        </w:rPr>
        <w:t xml:space="preserve">. The results of our business in a given period can be impacted by seasonal and adverse weather conditions, severe weather events, natural disasters or other emergencies. Such events include, among other things, heavy or prolonged snowfall or rainfall, hurricanes, tropical storms, tornadoes, floods, blizzards, extreme temperatures, wildfires and earthquakes. Adverse weather conditions can affect project margins in a given period. For example, extended periods of rain or snowfall can negatively affect revenue and project margins due to reduced productivity from projects being delayed or temporarily halted. Climate change has the potential to increase the frequency and extremity of severe weather events. These conditions and events can negatively impact our financial results due to, among other things, the termination, deferral or delay of projects, reduced productivity and exposure to significant liabilities due to failure of electrical power or other infrastructure on which we have performed services. </w:t>
      </w:r>
    </w:p>
    <w:p>
      <w:pPr>
        <w:pStyle w:val="TextBody"/>
        <w:bidi w:val="0"/>
        <w:spacing w:before="240" w:after="0"/>
        <w:jc w:val="left"/>
        <w:rPr>
          <w:rFonts w:ascii="Times New Roman" w:hAnsi="Times New Roman"/>
          <w:sz w:val="20"/>
        </w:rPr>
      </w:pPr>
      <w:r>
        <w:rPr>
          <w:rFonts w:ascii="Times New Roman" w:hAnsi="Times New Roman"/>
          <w:i/>
          <w:sz w:val="20"/>
        </w:rPr>
        <w:t>Project Margins</w:t>
      </w:r>
      <w:r>
        <w:rPr>
          <w:rFonts w:ascii="Times New Roman" w:hAnsi="Times New Roman"/>
          <w:sz w:val="20"/>
        </w:rPr>
        <w:t xml:space="preserve">. Overall project margins may fluctuate period to period due to project pricing and job conditions, changes in the cost of labor and materials, availability and cost of components and materials, crew availability, job productivity and work volume. Job productivity can be affected by a number of factors, including unexpected project difficulties or site conditions, quality of the work crew and equipment, the quality of engineering specifications and designs, availability of skilled labor, availability and cost of components and materials, inclement weather or severe weather events, environmental or regulatory factors, customer decisions or delays and crew productivity. </w:t>
      </w:r>
    </w:p>
    <w:p>
      <w:pPr>
        <w:pStyle w:val="TextBody"/>
        <w:bidi w:val="0"/>
        <w:spacing w:before="240" w:after="0"/>
        <w:jc w:val="left"/>
        <w:rPr>
          <w:rFonts w:ascii="Times New Roman" w:hAnsi="Times New Roman"/>
          <w:sz w:val="20"/>
        </w:rPr>
      </w:pPr>
      <w:r>
        <w:rPr>
          <w:rFonts w:ascii="Times New Roman" w:hAnsi="Times New Roman"/>
          <w:i/>
          <w:sz w:val="20"/>
        </w:rPr>
        <w:t>Permitting and Interconnection</w:t>
      </w:r>
      <w:r>
        <w:rPr>
          <w:rFonts w:ascii="Times New Roman" w:hAnsi="Times New Roman"/>
          <w:sz w:val="20"/>
        </w:rPr>
        <w:t xml:space="preserve">. Our projects typically require interconnection and permitting prior to commencing construction, and we may be affected by regulatory and utility delays as a result. Permitting and interconnection related delays are beyond our control and can negatively impact our ability to complete the project in accordance with the required delivery schedule, performance requirements or achieve our anticipated margin on the project. While we may seek to recover our additional costs resulting from our customers’ delays, those costs may not be recoverable, and in some cases, we may even be required to compensate the customer for such delays, including in circumstances where we have guaranteed project completion or performance by a scheduled date and incur liquidated damages if we do not meet such schedule. </w:t>
      </w:r>
    </w:p>
    <w:p>
      <w:pPr>
        <w:pStyle w:val="TextBody"/>
        <w:bidi w:val="0"/>
        <w:spacing w:before="240" w:after="0"/>
        <w:jc w:val="left"/>
        <w:rPr>
          <w:rFonts w:ascii="Times New Roman" w:hAnsi="Times New Roman"/>
          <w:sz w:val="20"/>
        </w:rPr>
      </w:pPr>
      <w:r>
        <w:rPr>
          <w:rFonts w:ascii="Times New Roman" w:hAnsi="Times New Roman"/>
          <w:i/>
          <w:sz w:val="20"/>
        </w:rPr>
        <w:t>Inflation</w:t>
      </w:r>
      <w:r>
        <w:rPr>
          <w:rFonts w:ascii="Times New Roman" w:hAnsi="Times New Roman"/>
          <w:sz w:val="20"/>
        </w:rPr>
        <w:t xml:space="preserve">. Our operations are affected by increases in prices, whether caused by inflation, rising interest rates or other economic factors. We attempt to recover anticipated increases in the cost of labor, equipment, fuel and materials through price escalation provisions that allow us to adjust billing rates for certain major contracts annually; by considering the estimated effect of such increases when bidding or pricing new work; or by entering into back-to-back contracts with suppliers and subcontractors.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Tariffs</w:t>
      </w:r>
      <w:r>
        <w:rPr>
          <w:rFonts w:ascii="Times New Roman" w:hAnsi="Times New Roman"/>
          <w:sz w:val="20"/>
        </w:rPr>
        <w:t xml:space="preserve">. Our business may be affected by tariffs that increase the cost of materials and equipment we use, which we try to mitigate through contractual protections with our customers, price increases and other cost reduction measures. The potential for continued economic uncertainty may have adverse impacts to the levels of future customer contracts and our future business operations, financial condition and liquidity. We caution that significant uncertainty remains due to supply chain challenges, inflationary costs, ongoing geopolitical and macroeconomic uncertainties, especially with the latest tariff announcements, and the possible impact on trade between the U.S. and the rest of the world, among other factors. </w:t>
      </w:r>
    </w:p>
    <w:p>
      <w:pPr>
        <w:pStyle w:val="TextBody"/>
        <w:bidi w:val="0"/>
        <w:spacing w:before="240" w:after="0"/>
        <w:jc w:val="left"/>
        <w:rPr>
          <w:rFonts w:ascii="Times New Roman" w:hAnsi="Times New Roman"/>
          <w:sz w:val="20"/>
        </w:rPr>
      </w:pPr>
      <w:r>
        <w:rPr>
          <w:rFonts w:ascii="Times New Roman" w:hAnsi="Times New Roman"/>
          <w:i/>
          <w:sz w:val="20"/>
        </w:rPr>
        <w:t>Macroeconomic Policy</w:t>
      </w:r>
      <w:r>
        <w:rPr>
          <w:rFonts w:ascii="Times New Roman" w:hAnsi="Times New Roman"/>
          <w:sz w:val="20"/>
        </w:rPr>
        <w:t xml:space="preserve">. Our business may be affected by changes in laws and regulations as a result of shifting macroeconomic policy. The enactment of the OBBBA has resulted in modifications to tax regulations affecting the renewable energy industry and the Company continues to evaluate the impact that they may have on its business and the pacing of its current and future projects. Additionally, the OBBBA expanded certain Foreign Entity of Concern (“FEOC”) restrictions under the IRA, including expanding the types of entities that are subject to FEOC limitations and will thus be unable to take advantage of IRA credits. Certain of our suppliers or partners may be affected by such regulations, which could result in supply chain challenges. Collectively, these actions could have a material impact on future levels of investment in utility-scale solar projects and on our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Costs Related to Becoming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required to continue to implement changes in certain aspects of our business and develop, manage and train management level and other employees to comply with ongoing public company requirements. We will also incur new expenses as a public company, including, among others, public reporting obligations, costs to comply with the Sarbanes-Oxley Act, increased professional fees for accounting, proxy statements and stockholder meetings, equity plan administration, stock exchange fees, transfer agent fees, SEC and Financial Industry Regulatory Authority, Inc. (“FINRA”) fees, filing fees, legal fees and offering expenses. In addition, we are a party to the Tax Receivable Agreement with the TRA Participants and are required to make certain payments to them in accordance with the terms of the Tax Receivable Agreement. See “—Effects of the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Effects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was formed for the purpose of the IPO and has engaged through the year ended December 31, 2025 only in activities in contemplation of the IPO, including the Transactions. SOLV Energy, Inc. is a holding company, and its sole material asset are its direct and indirect ownership interests in SOLV Energy Holdings LLC. For more information regarding our reorganization and holding company structure, see “The Transactions.” Following the completion of the IPO, all of our business is conducted through SOLV Energy Holdings LLC and its consolidated subsidiaries, and the financial results of SOLV Energy Holdings LLC and its consolidated subsidiaries are included in the consolidated financial statements of SOLV Energy, Inc. </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Transactions, SOLV Energy Holdings LLC became a partnership for U.S. federal income tax purposes and is treated as a continuation of SOLV Energy Parent Holdings LP for U.S. federal income tax purposes. As a partnership for U.S. federal income tax purposes, SOLV Energy Holdings LLC is generally not subject to U.S. federal income tax with the exception of any subsidiary corporations that will be subject to U.S. federal, state and local corporate income tax. As a result of its direct or indirect ownership of LLC Interests, SOLV Energy, Inc. will become subject to U.S. federal, state and local income taxes with respect to its allocable share of any taxable income of SOLV Energy Holdings LLC and will be taxed at the prevailing corporate tax rates. In addition to tax expenses, SOLV Energy, Inc. may also incur expenses related to its operations and will be required to make payments to the TRA Participants in accordance with the Tax Receivable Agreement. Estimating the amount of payments that may be made under the Tax Receivable Agreement is by its nature imprecise, insofar as the calculation of amounts payable depends on a variety of factors. Actual tax benefits realized by SOLV Energy, Inc. may differ from tax benefits calculated under the Tax Receivable Agreement. The payments that we may be required to make under the Tax Receivable Agreement to the TRA Participants may be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of Selected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our financial highlights for the periods indicated: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88"/>
        <w:gridCol w:w="239"/>
        <w:gridCol w:w="145"/>
        <w:gridCol w:w="1017"/>
        <w:gridCol w:w="60"/>
        <w:gridCol w:w="239"/>
        <w:gridCol w:w="145"/>
        <w:gridCol w:w="1017"/>
        <w:gridCol w:w="60"/>
        <w:gridCol w:w="239"/>
        <w:gridCol w:w="145"/>
        <w:gridCol w:w="1017"/>
        <w:gridCol w:w="161"/>
      </w:tblGrid>
      <w:tr>
        <w:trPr/>
        <w:tc>
          <w:tcPr>
            <w:tcW w:w="4088"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8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40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1" w:type="dxa"/>
            <w:tcBorders/>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i/>
              </w:rPr>
            </w:pPr>
            <w:r>
              <w:rPr>
                <w:i/>
              </w:rPr>
              <w:t>(dollars in thousands)</w:t>
            </w:r>
          </w:p>
        </w:tc>
        <w:tc>
          <w:tcPr>
            <w:tcW w:w="239"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2,490,496</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1,847,803</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2,100,643</w:t>
            </w:r>
          </w:p>
        </w:tc>
        <w:tc>
          <w:tcPr>
            <w:tcW w:w="161"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464,233</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259,164</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109,995</w:t>
            </w:r>
          </w:p>
        </w:tc>
        <w:tc>
          <w:tcPr>
            <w:tcW w:w="161"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149,703</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9,924</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(109,843</w:t>
            </w:r>
          </w:p>
        </w:tc>
        <w:tc>
          <w:tcPr>
            <w:tcW w:w="161"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2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283,943</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146,149</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30,260</w:t>
            </w:r>
          </w:p>
        </w:tc>
        <w:tc>
          <w:tcPr>
            <w:tcW w:w="161"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341,677</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165,133</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52,608</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are non-GAAP financial measures. See “—Key Performance Indicators and Non-GAAP Financial Measures” below for our definition of, and additional information about, EBITDA and Adjusted EBITDA, and for a reconciliation to net income, the most directly comparable U.S. GAAP financial measure.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disaggregated by job type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4"/>
        <w:gridCol w:w="240"/>
        <w:gridCol w:w="140"/>
        <w:gridCol w:w="981"/>
        <w:gridCol w:w="60"/>
        <w:gridCol w:w="240"/>
        <w:gridCol w:w="140"/>
        <w:gridCol w:w="981"/>
        <w:gridCol w:w="60"/>
        <w:gridCol w:w="240"/>
        <w:gridCol w:w="140"/>
        <w:gridCol w:w="981"/>
        <w:gridCol w:w="65"/>
      </w:tblGrid>
      <w:tr>
        <w:trPr/>
        <w:tc>
          <w:tcPr>
            <w:tcW w:w="4304"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9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5" w:type="dxa"/>
            <w:tcBorders/>
            <w:vAlign w:val="bottom"/>
          </w:tcPr>
          <w:p>
            <w:pPr>
              <w:pStyle w:val="TableContents"/>
              <w:bidi w:val="0"/>
              <w:spacing w:before="0" w:after="283"/>
              <w:jc w:val="left"/>
              <w:rPr/>
            </w:pPr>
            <w:r>
              <w:rPr/>
              <w:t> </w:t>
            </w:r>
          </w:p>
        </w:tc>
      </w:tr>
      <w:tr>
        <w:trPr/>
        <w:tc>
          <w:tcPr>
            <w:tcW w:w="430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4304" w:type="dxa"/>
            <w:tcBorders/>
            <w:vAlign w:val="bottom"/>
          </w:tcPr>
          <w:p>
            <w:pPr>
              <w:pStyle w:val="TableContents"/>
              <w:bidi w:val="0"/>
              <w:spacing w:before="0" w:after="283"/>
              <w:jc w:val="left"/>
              <w:rPr>
                <w:i/>
              </w:rPr>
            </w:pPr>
            <w:r>
              <w:rPr>
                <w:i/>
              </w:rPr>
              <w:t>(dollars in thousands)</w:t>
            </w:r>
          </w:p>
        </w:tc>
        <w:tc>
          <w:tcPr>
            <w:tcW w:w="240"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construction(1)</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2,350,485</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1,773,868</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1,940,420</w:t>
            </w:r>
          </w:p>
        </w:tc>
        <w:tc>
          <w:tcPr>
            <w:tcW w:w="65" w:type="dxa"/>
            <w:tcBorders/>
            <w:shd w:fill="CCEEFF" w:val="clear"/>
            <w:vAlign w:val="bottom"/>
          </w:tcPr>
          <w:p>
            <w:pPr>
              <w:pStyle w:val="TableContents"/>
              <w:bidi w:val="0"/>
              <w:spacing w:before="0" w:after="283"/>
              <w:jc w:val="left"/>
              <w:rPr/>
            </w:pPr>
            <w:r>
              <w:rPr/>
              <w:t> </w:t>
            </w:r>
          </w:p>
        </w:tc>
      </w:tr>
      <w:tr>
        <w:trPr/>
        <w:tc>
          <w:tcPr>
            <w:tcW w:w="4304" w:type="dxa"/>
            <w:tcBorders/>
          </w:tcPr>
          <w:p>
            <w:pPr>
              <w:pStyle w:val="TableContents"/>
              <w:bidi w:val="0"/>
              <w:spacing w:before="0" w:after="0"/>
              <w:jc w:val="left"/>
              <w:rPr>
                <w:rFonts w:ascii="Times New Roman" w:hAnsi="Times New Roman"/>
                <w:sz w:val="20"/>
              </w:rPr>
            </w:pPr>
            <w:r>
              <w:rPr>
                <w:rFonts w:ascii="Times New Roman" w:hAnsi="Times New Roman"/>
                <w:sz w:val="20"/>
              </w:rPr>
              <w:t>Existing infrastructure(2)</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113,216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73,170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58,981</w:t>
            </w:r>
          </w:p>
        </w:tc>
        <w:tc>
          <w:tcPr>
            <w:tcW w:w="65" w:type="dxa"/>
            <w:tcBorders/>
            <w:vAlign w:val="bottom"/>
          </w:tcPr>
          <w:p>
            <w:pPr>
              <w:pStyle w:val="TableContents"/>
              <w:bidi w:val="0"/>
              <w:spacing w:before="0" w:after="283"/>
              <w:jc w:val="left"/>
              <w:rPr/>
            </w:pPr>
            <w:r>
              <w:rPr/>
              <w:t> </w:t>
            </w:r>
          </w:p>
        </w:tc>
      </w:tr>
      <w:tr>
        <w:trPr/>
        <w:tc>
          <w:tcPr>
            <w:tcW w:w="4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26,795</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765</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101,242</w:t>
            </w:r>
          </w:p>
        </w:tc>
        <w:tc>
          <w:tcPr>
            <w:tcW w:w="65" w:type="dxa"/>
            <w:tcBorders/>
            <w:shd w:fill="CCEEFF" w:val="clear"/>
            <w:vAlign w:val="bottom"/>
          </w:tcPr>
          <w:p>
            <w:pPr>
              <w:pStyle w:val="TableContents"/>
              <w:bidi w:val="0"/>
              <w:spacing w:before="0" w:after="283"/>
              <w:jc w:val="left"/>
              <w:rPr/>
            </w:pPr>
            <w:r>
              <w:rPr/>
              <w:t> </w:t>
            </w:r>
          </w:p>
        </w:tc>
      </w:tr>
      <w:tr>
        <w:trPr/>
        <w:tc>
          <w:tcPr>
            <w:tcW w:w="430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0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2,490,496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1,847,803</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2,100,643</w:t>
            </w:r>
          </w:p>
        </w:tc>
        <w:tc>
          <w:tcPr>
            <w:tcW w:w="65" w:type="dxa"/>
            <w:tcBorders/>
            <w:vAlign w:val="bottom"/>
          </w:tcPr>
          <w:p>
            <w:pPr>
              <w:pStyle w:val="TableContents"/>
              <w:bidi w:val="0"/>
              <w:spacing w:before="0" w:after="283"/>
              <w:jc w:val="left"/>
              <w:rPr/>
            </w:pPr>
            <w:r>
              <w:rPr/>
              <w:t> </w:t>
            </w:r>
          </w:p>
        </w:tc>
      </w:tr>
      <w:tr>
        <w:trPr/>
        <w:tc>
          <w:tcPr>
            <w:tcW w:w="430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 for jobs involving the construction of a new solar, battery storage, T&amp;D or other project pursuant to EPC contracts or LNTP agreements.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from jobs involving maintaining, upgrading, repowering or expanding existing solar, battery storage, T&amp;D or other projects pursuant to commercial agreements.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development fees from the sale of projects we developed and sold to third parties and SDI small and large diameter drilling projects. Also includes certain construction management services that we no longer offer.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New construction revenue by project type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65"/>
        <w:gridCol w:w="244"/>
        <w:gridCol w:w="141"/>
        <w:gridCol w:w="989"/>
        <w:gridCol w:w="60"/>
        <w:gridCol w:w="244"/>
        <w:gridCol w:w="141"/>
        <w:gridCol w:w="989"/>
        <w:gridCol w:w="60"/>
        <w:gridCol w:w="244"/>
        <w:gridCol w:w="141"/>
        <w:gridCol w:w="989"/>
        <w:gridCol w:w="65"/>
      </w:tblGrid>
      <w:tr>
        <w:trPr/>
        <w:tc>
          <w:tcPr>
            <w:tcW w:w="426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399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5"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i/>
              </w:rPr>
            </w:pPr>
            <w:r>
              <w:rPr>
                <w:i/>
              </w:rPr>
              <w:t>(dollars in thousands)</w:t>
            </w:r>
          </w:p>
        </w:tc>
        <w:tc>
          <w:tcPr>
            <w:tcW w:w="244"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Solar PV / Solar PV + Battery Storage</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2,105,002</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1,647,867</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1,915,898</w:t>
            </w:r>
          </w:p>
        </w:tc>
        <w:tc>
          <w:tcPr>
            <w:tcW w:w="65" w:type="dxa"/>
            <w:tcBorders/>
            <w:shd w:fill="CCEEFF" w:val="clear"/>
            <w:vAlign w:val="bottom"/>
          </w:tcPr>
          <w:p>
            <w:pPr>
              <w:pStyle w:val="TableContents"/>
              <w:bidi w:val="0"/>
              <w:spacing w:before="0" w:after="283"/>
              <w:jc w:val="left"/>
              <w:rPr/>
            </w:pPr>
            <w:r>
              <w:rPr/>
              <w:t> </w:t>
            </w:r>
          </w:p>
        </w:tc>
      </w:tr>
      <w:tr>
        <w:trPr/>
        <w:tc>
          <w:tcPr>
            <w:tcW w:w="4265" w:type="dxa"/>
            <w:tcBorders/>
          </w:tcPr>
          <w:p>
            <w:pPr>
              <w:pStyle w:val="TableContents"/>
              <w:bidi w:val="0"/>
              <w:spacing w:before="0" w:after="0"/>
              <w:jc w:val="left"/>
              <w:rPr>
                <w:rFonts w:ascii="Times New Roman" w:hAnsi="Times New Roman"/>
                <w:sz w:val="20"/>
              </w:rPr>
            </w:pPr>
            <w:r>
              <w:rPr>
                <w:rFonts w:ascii="Times New Roman" w:hAnsi="Times New Roman"/>
                <w:sz w:val="20"/>
              </w:rPr>
              <w:t>Standalone Battery Storage</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96,013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81,000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18,243</w:t>
            </w:r>
          </w:p>
        </w:tc>
        <w:tc>
          <w:tcPr>
            <w:tcW w:w="65" w:type="dxa"/>
            <w:tcBorders/>
            <w:vAlign w:val="bottom"/>
          </w:tcPr>
          <w:p>
            <w:pPr>
              <w:pStyle w:val="TableContents"/>
              <w:bidi w:val="0"/>
              <w:spacing w:before="0" w:after="283"/>
              <w:jc w:val="left"/>
              <w:rPr/>
            </w:pPr>
            <w:r>
              <w:rPr/>
              <w:t> </w:t>
            </w:r>
          </w:p>
        </w:tc>
      </w:tr>
      <w:tr>
        <w:trPr/>
        <w:tc>
          <w:tcPr>
            <w:tcW w:w="4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T&amp;D</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149,470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45,001</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6,279</w:t>
            </w:r>
          </w:p>
        </w:tc>
        <w:tc>
          <w:tcPr>
            <w:tcW w:w="65"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26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2,350,485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1,773,868</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1,940,420</w:t>
            </w:r>
          </w:p>
        </w:tc>
        <w:tc>
          <w:tcPr>
            <w:tcW w:w="65"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For infrastructure services providers, backlog can be an indicator of future revenue. Different companies define and calculate backlog in different manners. Additionally, backlog differs from the amount of the remaining performance obligations, which are described in Note 5—Revenue from Contracts with Customers in the notes to the audited consolidated financial statements in “Item 8. Financial Statements and Supplementary Data” of this Annual Report. We have two measures of backlog: (1) Next 12 Months Backlog, which includes Signed Backlog and Awarded Backlog (each as defined below) and Estimated Corrective Maintenance Backlog (as defined below) that we anticipate will be recognized as revenue over the next twelve months, and (2) Total Backlog, which includes all Signed Backlog and Awarded Backlog, and Estimated Corrective Maintenance Backlog. Our backlog includes the following categories of projects: </w:t>
      </w:r>
    </w:p>
    <w:p>
      <w:pPr>
        <w:pStyle w:val="TextBody"/>
        <w:bidi w:val="0"/>
        <w:spacing w:before="240" w:after="0"/>
        <w:jc w:val="left"/>
        <w:rPr>
          <w:rFonts w:ascii="Times New Roman" w:hAnsi="Times New Roman"/>
          <w:sz w:val="20"/>
        </w:rPr>
      </w:pPr>
      <w:r>
        <w:rPr>
          <w:rFonts w:ascii="Times New Roman" w:hAnsi="Times New Roman"/>
          <w:i/>
          <w:sz w:val="20"/>
        </w:rPr>
        <w:t>Signed Backlog</w:t>
      </w:r>
      <w:r>
        <w:rPr>
          <w:rFonts w:ascii="Times New Roman" w:hAnsi="Times New Roman"/>
          <w:sz w:val="20"/>
        </w:rPr>
        <w:t xml:space="preserve">: Represents the anticipated revenue from the uncompleted portions of existing contracts where scope is adequately defined, and we have enforceable rights to consideration. Signed Backlog includes the value of EPC contracts in which FNTP/NTP is enacted, LNTP agreements and the minimum amounts over the remaining term of O&amp;M agreements that have not yet been recognized as revenue. The remaining value of EPC contracts can increase or decrease based on change orders that are mutually agreed between us and the customer during the construction process. We do not consider renewals or the impact of early terminations when estimating our backlog from O&amp;M agreements. </w:t>
      </w:r>
    </w:p>
    <w:p>
      <w:pPr>
        <w:pStyle w:val="TextBody"/>
        <w:bidi w:val="0"/>
        <w:spacing w:before="240" w:after="0"/>
        <w:jc w:val="left"/>
        <w:rPr>
          <w:rFonts w:ascii="Times New Roman" w:hAnsi="Times New Roman"/>
          <w:sz w:val="20"/>
        </w:rPr>
      </w:pPr>
      <w:r>
        <w:rPr>
          <w:rFonts w:ascii="Times New Roman" w:hAnsi="Times New Roman"/>
          <w:i/>
          <w:sz w:val="20"/>
        </w:rPr>
        <w:t>Awarded Backlog</w:t>
      </w:r>
      <w:r>
        <w:rPr>
          <w:rFonts w:ascii="Times New Roman" w:hAnsi="Times New Roman"/>
          <w:sz w:val="20"/>
        </w:rPr>
        <w:t xml:space="preserve">: Represents the anticipated revenue from contracts where the customer has agreed upon the price for the job and signed an LNTP agreement in anticipation of entering into an EPC contract with us, but has not yet executed such contract. When a customer has an existing executed LNTP agreement with us, we include that value in Signed Backlog. Awarded Backlog only includes the remaining expected value of the EPC contract. Awarded Backlog also includes the value of those EPC contracts where FNTP/NTP has yet to be enacted. </w:t>
      </w:r>
    </w:p>
    <w:p>
      <w:pPr>
        <w:pStyle w:val="TextBody"/>
        <w:bidi w:val="0"/>
        <w:spacing w:before="240" w:after="0"/>
        <w:jc w:val="left"/>
        <w:rPr>
          <w:rFonts w:ascii="Times New Roman" w:hAnsi="Times New Roman"/>
          <w:sz w:val="20"/>
        </w:rPr>
      </w:pPr>
      <w:r>
        <w:rPr>
          <w:rFonts w:ascii="Times New Roman" w:hAnsi="Times New Roman"/>
          <w:i/>
          <w:sz w:val="20"/>
        </w:rPr>
        <w:t>Estimated Corrective Maintenance Backlog</w:t>
      </w:r>
      <w:r>
        <w:rPr>
          <w:rFonts w:ascii="Times New Roman" w:hAnsi="Times New Roman"/>
          <w:sz w:val="20"/>
        </w:rPr>
        <w:t xml:space="preserve">: Represents the estimated revenue from corrective maintenance work on sites where we have an existing O&amp;M agreement over the remaining term of the agreement. Under the terms of our O&amp;M agreements, we provide preventative maintenance services pursuant to a fixed fee and corrective maintenance on a time and materials basis. We estimate Estimated Corrective Maintenance Backlog by multiplying the average annual revenues we have generated from corrective maintenance, expressed as a percentage of the fixed preventative maintenance revenues we generated in the same periods since 2022 (the “CM Ratio”) by the total amount of remaining minimum preventative maintenance fees we are due pursuant to O&amp;M agreements. As of December 31, 2025 and December 31, 2024, the CM Ratio was 75%, or $0.75 and 82% or $0.82, respectively, of corrective maintenance revenue per $1.00 of preventative maintenance. </w:t>
      </w:r>
    </w:p>
    <w:p>
      <w:pPr>
        <w:pStyle w:val="TextBody"/>
        <w:bidi w:val="0"/>
        <w:spacing w:before="240" w:after="0"/>
        <w:jc w:val="left"/>
        <w:rPr>
          <w:rFonts w:ascii="Times New Roman" w:hAnsi="Times New Roman"/>
          <w:sz w:val="20"/>
        </w:rPr>
      </w:pPr>
      <w:r>
        <w:rPr>
          <w:rFonts w:ascii="Times New Roman" w:hAnsi="Times New Roman"/>
          <w:sz w:val="20"/>
        </w:rPr>
        <w:t xml:space="preserve">Backlog should not be considered a comprehensive indicator of future revenue, as a percentage of our revenue is derived from change orders and other revenues that are not included in our backlog. Additionally, any of our contracts may be terminated by our customers on relatively short notice. In the event of a project cancellation, we are typically reimbursed for all of our negotiated costs through a specific date, as well as all reasonable costs associated with demobilizing from the jobsite, but typically we have no contractual right to the total revenue reflected in Awarded Backlog. Projects can also remain in backlog for extended periods of time as a result of customer delays, permitting or regulatory delays, equipment delays or project specific issues. We do not include future revenue from projects where scope, and therefore value, is not adequately defined in our backlog. For more information on backlog, please see the “—Key Performance Indicators and Non-GAAP Financial Measures” discussion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our Next 12 Months and Total Backlog by contract type: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50"/>
        <w:gridCol w:w="213"/>
        <w:gridCol w:w="161"/>
        <w:gridCol w:w="1138"/>
        <w:gridCol w:w="60"/>
        <w:gridCol w:w="213"/>
        <w:gridCol w:w="140"/>
        <w:gridCol w:w="981"/>
        <w:gridCol w:w="60"/>
        <w:gridCol w:w="213"/>
        <w:gridCol w:w="160"/>
        <w:gridCol w:w="1138"/>
        <w:gridCol w:w="60"/>
        <w:gridCol w:w="213"/>
        <w:gridCol w:w="140"/>
        <w:gridCol w:w="981"/>
        <w:gridCol w:w="67"/>
      </w:tblGrid>
      <w:tr>
        <w:trPr/>
        <w:tc>
          <w:tcPr>
            <w:tcW w:w="345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5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6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6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7" w:type="dxa"/>
            <w:tcBorders/>
            <w:vAlign w:val="bottom"/>
          </w:tcPr>
          <w:p>
            <w:pPr>
              <w:pStyle w:val="TableContents"/>
              <w:bidi w:val="0"/>
              <w:spacing w:before="0" w:after="283"/>
              <w:jc w:val="left"/>
              <w:rPr/>
            </w:pPr>
            <w:r>
              <w:rPr/>
              <w:t> </w:t>
            </w:r>
          </w:p>
        </w:tc>
      </w:tr>
      <w:tr>
        <w:trPr/>
        <w:tc>
          <w:tcPr>
            <w:tcW w:w="345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 12 Mos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 12 Mos</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450" w:type="dxa"/>
            <w:tcBorders/>
            <w:vAlign w:val="bottom"/>
          </w:tcPr>
          <w:p>
            <w:pPr>
              <w:pStyle w:val="TableContents"/>
              <w:bidi w:val="0"/>
              <w:spacing w:before="0" w:after="283"/>
              <w:jc w:val="left"/>
              <w:rPr>
                <w:i/>
              </w:rPr>
            </w:pPr>
            <w:r>
              <w:rPr>
                <w:i/>
              </w:rPr>
              <w:t>(in millions)</w:t>
            </w:r>
          </w:p>
        </w:tc>
        <w:tc>
          <w:tcPr>
            <w:tcW w:w="213"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9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121"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34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Signed Backlog</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1,822,004</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2,023,670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1,551,571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981,961</w:t>
            </w:r>
          </w:p>
        </w:tc>
        <w:tc>
          <w:tcPr>
            <w:tcW w:w="67" w:type="dxa"/>
            <w:tcBorders/>
            <w:vAlign w:val="bottom"/>
          </w:tcPr>
          <w:p>
            <w:pPr>
              <w:pStyle w:val="TableContents"/>
              <w:bidi w:val="0"/>
              <w:spacing w:before="0" w:after="283"/>
              <w:jc w:val="left"/>
              <w:rPr/>
            </w:pPr>
            <w:r>
              <w:rPr/>
              <w:t> </w:t>
            </w:r>
          </w:p>
        </w:tc>
      </w:tr>
      <w:tr>
        <w:trPr/>
        <w:tc>
          <w:tcPr>
            <w:tcW w:w="3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O&amp;M Agreements</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66,619</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314,385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74,283</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249,784</w:t>
            </w:r>
          </w:p>
        </w:tc>
        <w:tc>
          <w:tcPr>
            <w:tcW w:w="67" w:type="dxa"/>
            <w:tcBorders/>
            <w:shd w:fill="CCEEFF" w:val="clear"/>
            <w:vAlign w:val="bottom"/>
          </w:tcPr>
          <w:p>
            <w:pPr>
              <w:pStyle w:val="TableContents"/>
              <w:bidi w:val="0"/>
              <w:spacing w:before="0" w:after="283"/>
              <w:jc w:val="left"/>
              <w:rPr/>
            </w:pPr>
            <w:r>
              <w:rPr/>
              <w:t> </w:t>
            </w:r>
          </w:p>
        </w:tc>
      </w:tr>
      <w:tr>
        <w:trPr/>
        <w:tc>
          <w:tcPr>
            <w:tcW w:w="345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1,888,623</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2,338,055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1,625,854</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1,231,745</w:t>
            </w:r>
          </w:p>
        </w:tc>
        <w:tc>
          <w:tcPr>
            <w:tcW w:w="67" w:type="dxa"/>
            <w:tcBorders/>
            <w:vAlign w:val="bottom"/>
          </w:tcPr>
          <w:p>
            <w:pPr>
              <w:pStyle w:val="TableContents"/>
              <w:bidi w:val="0"/>
              <w:spacing w:before="0" w:after="283"/>
              <w:jc w:val="left"/>
              <w:rPr/>
            </w:pPr>
            <w:r>
              <w:rPr/>
              <w:t> </w:t>
            </w:r>
          </w:p>
        </w:tc>
      </w:tr>
      <w:tr>
        <w:trPr/>
        <w:tc>
          <w:tcPr>
            <w:tcW w:w="345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120" w:hRule="atLeast"/>
        </w:trPr>
        <w:tc>
          <w:tcPr>
            <w:tcW w:w="3450" w:type="dxa"/>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571" w:type="dxa"/>
            <w:gridSpan w:val="4"/>
            <w:tcBorders/>
            <w:vAlign w:val="center"/>
          </w:tcPr>
          <w:p>
            <w:pPr>
              <w:pStyle w:val="TableContents"/>
              <w:bidi w:val="0"/>
              <w:spacing w:before="0" w:after="283"/>
              <w:jc w:val="left"/>
              <w:rPr>
                <w:sz w:val="4"/>
                <w:szCs w:val="4"/>
              </w:rPr>
            </w:pPr>
            <w:r>
              <w:rPr>
                <w:sz w:val="4"/>
                <w:szCs w:val="4"/>
              </w:rPr>
            </w:r>
          </w:p>
        </w:tc>
        <w:tc>
          <w:tcPr>
            <w:tcW w:w="1401" w:type="dxa"/>
            <w:gridSpan w:val="4"/>
            <w:tcBorders/>
            <w:vAlign w:val="center"/>
          </w:tcPr>
          <w:p>
            <w:pPr>
              <w:pStyle w:val="TableContents"/>
              <w:bidi w:val="0"/>
              <w:spacing w:before="0" w:after="283"/>
              <w:jc w:val="left"/>
              <w:rPr>
                <w:sz w:val="4"/>
                <w:szCs w:val="4"/>
              </w:rPr>
            </w:pPr>
            <w:r>
              <w:rPr>
                <w:sz w:val="4"/>
                <w:szCs w:val="4"/>
              </w:rPr>
            </w:r>
          </w:p>
        </w:tc>
      </w:tr>
      <w:tr>
        <w:trPr/>
        <w:tc>
          <w:tcPr>
            <w:tcW w:w="34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Awarded Backlog</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1,812,879</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5,458,153</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622,571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2,863,714</w:t>
            </w:r>
          </w:p>
        </w:tc>
        <w:tc>
          <w:tcPr>
            <w:tcW w:w="67" w:type="dxa"/>
            <w:tcBorders/>
            <w:vAlign w:val="bottom"/>
          </w:tcPr>
          <w:p>
            <w:pPr>
              <w:pStyle w:val="TableContents"/>
              <w:bidi w:val="0"/>
              <w:spacing w:before="0" w:after="283"/>
              <w:jc w:val="left"/>
              <w:rPr/>
            </w:pPr>
            <w:r>
              <w:rPr/>
              <w:t> </w:t>
            </w:r>
          </w:p>
        </w:tc>
      </w:tr>
      <w:tr>
        <w:trPr>
          <w:trHeight w:val="120" w:hRule="atLeast"/>
        </w:trPr>
        <w:tc>
          <w:tcPr>
            <w:tcW w:w="3450" w:type="dxa"/>
            <w:tcBorders/>
            <w:vAlign w:val="center"/>
          </w:tcPr>
          <w:p>
            <w:pPr>
              <w:pStyle w:val="TableContents"/>
              <w:bidi w:val="0"/>
              <w:spacing w:before="0" w:after="283"/>
              <w:jc w:val="left"/>
              <w:rPr>
                <w:sz w:val="4"/>
                <w:szCs w:val="4"/>
              </w:rPr>
            </w:pPr>
            <w:r>
              <w:rPr>
                <w:sz w:val="4"/>
                <w:szCs w:val="4"/>
              </w:rPr>
            </w:r>
          </w:p>
        </w:tc>
        <w:tc>
          <w:tcPr>
            <w:tcW w:w="1572" w:type="dxa"/>
            <w:gridSpan w:val="4"/>
            <w:tcBorders/>
            <w:vAlign w:val="center"/>
          </w:tcPr>
          <w:p>
            <w:pPr>
              <w:pStyle w:val="TableContents"/>
              <w:bidi w:val="0"/>
              <w:spacing w:before="0" w:after="283"/>
              <w:jc w:val="left"/>
              <w:rPr>
                <w:sz w:val="4"/>
                <w:szCs w:val="4"/>
              </w:rPr>
            </w:pPr>
            <w:r>
              <w:rPr>
                <w:sz w:val="4"/>
                <w:szCs w:val="4"/>
              </w:rPr>
            </w:r>
          </w:p>
        </w:tc>
        <w:tc>
          <w:tcPr>
            <w:tcW w:w="1394" w:type="dxa"/>
            <w:gridSpan w:val="4"/>
            <w:tcBorders/>
            <w:vAlign w:val="center"/>
          </w:tcPr>
          <w:p>
            <w:pPr>
              <w:pStyle w:val="TableContents"/>
              <w:bidi w:val="0"/>
              <w:spacing w:before="0" w:after="283"/>
              <w:jc w:val="left"/>
              <w:rPr>
                <w:sz w:val="4"/>
                <w:szCs w:val="4"/>
              </w:rPr>
            </w:pPr>
            <w:r>
              <w:rPr>
                <w:sz w:val="4"/>
                <w:szCs w:val="4"/>
              </w:rPr>
            </w:r>
          </w:p>
        </w:tc>
        <w:tc>
          <w:tcPr>
            <w:tcW w:w="1571" w:type="dxa"/>
            <w:gridSpan w:val="4"/>
            <w:tcBorders/>
            <w:vAlign w:val="center"/>
          </w:tcPr>
          <w:p>
            <w:pPr>
              <w:pStyle w:val="TableContents"/>
              <w:bidi w:val="0"/>
              <w:spacing w:before="0" w:after="283"/>
              <w:jc w:val="left"/>
              <w:rPr>
                <w:sz w:val="4"/>
                <w:szCs w:val="4"/>
              </w:rPr>
            </w:pPr>
            <w:r>
              <w:rPr>
                <w:sz w:val="4"/>
                <w:szCs w:val="4"/>
              </w:rPr>
            </w:r>
          </w:p>
        </w:tc>
        <w:tc>
          <w:tcPr>
            <w:tcW w:w="1401" w:type="dxa"/>
            <w:gridSpan w:val="4"/>
            <w:tcBorders/>
            <w:vAlign w:val="center"/>
          </w:tcPr>
          <w:p>
            <w:pPr>
              <w:pStyle w:val="TableContents"/>
              <w:bidi w:val="0"/>
              <w:spacing w:before="0" w:after="283"/>
              <w:jc w:val="left"/>
              <w:rPr>
                <w:sz w:val="4"/>
                <w:szCs w:val="4"/>
              </w:rPr>
            </w:pPr>
            <w:r>
              <w:rPr>
                <w:sz w:val="4"/>
                <w:szCs w:val="4"/>
              </w:rPr>
            </w:r>
          </w:p>
        </w:tc>
      </w:tr>
      <w:tr>
        <w:trPr/>
        <w:tc>
          <w:tcPr>
            <w:tcW w:w="34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Corrective Maintenance Backlog</w:t>
            </w:r>
          </w:p>
        </w:tc>
        <w:tc>
          <w:tcPr>
            <w:tcW w:w="21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42,949</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227,870</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38,704</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183,206</w:t>
            </w:r>
          </w:p>
        </w:tc>
        <w:tc>
          <w:tcPr>
            <w:tcW w:w="67" w:type="dxa"/>
            <w:tcBorders/>
            <w:shd w:fill="CCEEFF" w:val="clear"/>
            <w:vAlign w:val="bottom"/>
          </w:tcPr>
          <w:p>
            <w:pPr>
              <w:pStyle w:val="TableContents"/>
              <w:bidi w:val="0"/>
              <w:spacing w:before="0" w:after="283"/>
              <w:jc w:val="left"/>
              <w:rPr/>
            </w:pPr>
            <w:r>
              <w:rPr/>
              <w:t> </w:t>
            </w:r>
          </w:p>
        </w:tc>
      </w:tr>
      <w:tr>
        <w:trPr/>
        <w:tc>
          <w:tcPr>
            <w:tcW w:w="345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Total Backlog</w:t>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3,744,451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8,024,078</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2,287,129</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4,278,665</w:t>
            </w:r>
          </w:p>
        </w:tc>
        <w:tc>
          <w:tcPr>
            <w:tcW w:w="67" w:type="dxa"/>
            <w:tcBorders/>
            <w:vAlign w:val="bottom"/>
          </w:tcPr>
          <w:p>
            <w:pPr>
              <w:pStyle w:val="TableContents"/>
              <w:bidi w:val="0"/>
              <w:spacing w:before="0" w:after="283"/>
              <w:jc w:val="left"/>
              <w:rPr/>
            </w:pPr>
            <w:r>
              <w:rPr/>
              <w:t> </w:t>
            </w:r>
          </w:p>
        </w:tc>
      </w:tr>
      <w:tr>
        <w:trPr/>
        <w:tc>
          <w:tcPr>
            <w:tcW w:w="345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our results of operations for the years ended December 31, 2025 and 2024 are set forth below. A discussion of the year ended December 31, 2024 compared to the year ended December 31, 2023 has been reported previously in our final prospectus filed on February 11, 2026 in connection with the IPO, under the heading “Management’s Discussion and Analysis of Financial Condition and Results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December 31, 2025 Compared to Year Ended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annual consolidated results of operations, including as a percentage of revenue, as well as the dollar and percentage change from the prior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0"/>
        <w:gridCol w:w="137"/>
        <w:gridCol w:w="140"/>
        <w:gridCol w:w="1011"/>
        <w:gridCol w:w="155"/>
        <w:gridCol w:w="81"/>
        <w:gridCol w:w="60"/>
        <w:gridCol w:w="570"/>
        <w:gridCol w:w="350"/>
        <w:gridCol w:w="81"/>
        <w:gridCol w:w="140"/>
        <w:gridCol w:w="1011"/>
        <w:gridCol w:w="155"/>
        <w:gridCol w:w="81"/>
        <w:gridCol w:w="60"/>
        <w:gridCol w:w="570"/>
        <w:gridCol w:w="349"/>
        <w:gridCol w:w="81"/>
        <w:gridCol w:w="140"/>
        <w:gridCol w:w="818"/>
        <w:gridCol w:w="155"/>
        <w:gridCol w:w="81"/>
        <w:gridCol w:w="60"/>
        <w:gridCol w:w="707"/>
        <w:gridCol w:w="362"/>
      </w:tblGrid>
      <w:tr>
        <w:trPr/>
        <w:tc>
          <w:tcPr>
            <w:tcW w:w="285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446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9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2" w:type="dxa"/>
            <w:tcBorders/>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0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0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2" w:type="dxa"/>
            <w:tcBorders/>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i/>
              </w:rPr>
            </w:pPr>
            <w:r>
              <w:rPr>
                <w:i/>
              </w:rPr>
              <w:t>(in thousands)</w:t>
            </w:r>
          </w:p>
        </w:tc>
        <w:tc>
          <w:tcPr>
            <w:tcW w:w="137" w:type="dxa"/>
            <w:tcBorders/>
            <w:vAlign w:val="bottom"/>
          </w:tcPr>
          <w:p>
            <w:pPr>
              <w:pStyle w:val="TableContents"/>
              <w:bidi w:val="0"/>
              <w:spacing w:before="0" w:after="283"/>
              <w:jc w:val="left"/>
              <w:rPr/>
            </w:pPr>
            <w:r>
              <w:rPr/>
              <w:t>  </w:t>
            </w:r>
          </w:p>
        </w:tc>
        <w:tc>
          <w:tcPr>
            <w:tcW w:w="115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5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30" w:type="dxa"/>
            <w:gridSpan w:val="2"/>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7" w:type="dxa"/>
            <w:gridSpan w:val="2"/>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2,490,496</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100.0</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100.0</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642,693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34.8</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2,026,263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81.4</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1,588,639</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86.0</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437,624</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27.5</w:t>
            </w:r>
          </w:p>
        </w:tc>
        <w:tc>
          <w:tcPr>
            <w:tcW w:w="362" w:type="dxa"/>
            <w:tcBorders/>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464,233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18.6</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259,164</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14.0</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205,069</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79.1</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211,041</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8.5</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127,885</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6.9</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83,156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65.0</w:t>
            </w:r>
          </w:p>
        </w:tc>
        <w:tc>
          <w:tcPr>
            <w:tcW w:w="3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57,748</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66,347</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3.6</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(8,599</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(13.0</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268,789</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10.8</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194,232</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10.5</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74,557</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38.4</w:t>
            </w:r>
          </w:p>
        </w:tc>
        <w:tc>
          <w:tcPr>
            <w:tcW w:w="362" w:type="dxa"/>
            <w:tcBorders/>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195,444</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7.8</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3.5</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130,512</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201.0</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0.2</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NM</w:t>
            </w:r>
          </w:p>
        </w:tc>
        <w:tc>
          <w:tcPr>
            <w:tcW w:w="3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52,730</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2.1</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55,394</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3.0</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(2,664</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(4.8</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(7,156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(0.3</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(0.2</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(2,555</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55.5</w:t>
            </w:r>
          </w:p>
        </w:tc>
        <w:tc>
          <w:tcPr>
            <w:tcW w:w="3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(3,476</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(0.1</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(2,695</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345.1</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153,346</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6.2</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10,522</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0.6</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142,824</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1357.4</w:t>
            </w:r>
          </w:p>
        </w:tc>
        <w:tc>
          <w:tcPr>
            <w:tcW w:w="3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3,643</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0.1</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0.0</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3,045</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NM</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149,703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6.0</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0.5</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139,779</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1408.5</w:t>
            </w:r>
          </w:p>
        </w:tc>
        <w:tc>
          <w:tcPr>
            <w:tcW w:w="362" w:type="dxa"/>
            <w:tcBorders/>
            <w:vAlign w:val="bottom"/>
          </w:tcPr>
          <w:p>
            <w:pPr>
              <w:pStyle w:val="TableContents"/>
              <w:bidi w:val="0"/>
              <w:spacing w:before="0" w:after="283"/>
              <w:jc w:val="left"/>
              <w:rPr/>
            </w:pPr>
            <w:r>
              <w:rPr/>
              <w:t>% </w:t>
            </w:r>
          </w:p>
        </w:tc>
      </w:tr>
      <w:tr>
        <w:trPr/>
        <w:tc>
          <w:tcPr>
            <w:tcW w:w="2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520</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0.0</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0.0</w:t>
            </w:r>
          </w:p>
        </w:tc>
        <w:tc>
          <w:tcPr>
            <w:tcW w:w="34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518</w:t>
            </w:r>
          </w:p>
        </w:tc>
        <w:tc>
          <w:tcPr>
            <w:tcW w:w="15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NM</w:t>
            </w:r>
          </w:p>
        </w:tc>
        <w:tc>
          <w:tcPr>
            <w:tcW w:w="362" w:type="dxa"/>
            <w:tcBorders/>
            <w:shd w:fill="CCEEFF" w:val="clear"/>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8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controlling interests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1" w:type="dxa"/>
            <w:tcBorders/>
            <w:vAlign w:val="bottom"/>
          </w:tcPr>
          <w:p>
            <w:pPr>
              <w:pStyle w:val="TableContents"/>
              <w:bidi w:val="0"/>
              <w:spacing w:before="0" w:after="283"/>
              <w:jc w:val="right"/>
              <w:rPr/>
            </w:pPr>
            <w:r>
              <w:rPr/>
              <w:t>149,183</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6.0</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1" w:type="dxa"/>
            <w:tcBorders/>
            <w:vAlign w:val="bottom"/>
          </w:tcPr>
          <w:p>
            <w:pPr>
              <w:pStyle w:val="TableContents"/>
              <w:bidi w:val="0"/>
              <w:spacing w:before="0" w:after="283"/>
              <w:jc w:val="right"/>
              <w:rPr/>
            </w:pPr>
            <w:r>
              <w:rPr/>
              <w:t>9,922</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0.5</w:t>
            </w:r>
          </w:p>
        </w:tc>
        <w:tc>
          <w:tcPr>
            <w:tcW w:w="34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8" w:type="dxa"/>
            <w:tcBorders/>
            <w:vAlign w:val="bottom"/>
          </w:tcPr>
          <w:p>
            <w:pPr>
              <w:pStyle w:val="TableContents"/>
              <w:bidi w:val="0"/>
              <w:spacing w:before="0" w:after="283"/>
              <w:jc w:val="right"/>
              <w:rPr/>
            </w:pPr>
            <w:r>
              <w:rPr/>
              <w:t>139,261</w:t>
            </w:r>
          </w:p>
        </w:tc>
        <w:tc>
          <w:tcPr>
            <w:tcW w:w="15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1403.6</w:t>
            </w:r>
          </w:p>
        </w:tc>
        <w:tc>
          <w:tcPr>
            <w:tcW w:w="362" w:type="dxa"/>
            <w:tcBorders/>
            <w:vAlign w:val="bottom"/>
          </w:tcPr>
          <w:p>
            <w:pPr>
              <w:pStyle w:val="TableContents"/>
              <w:bidi w:val="0"/>
              <w:spacing w:before="0" w:after="283"/>
              <w:jc w:val="left"/>
              <w:rPr/>
            </w:pPr>
            <w:r>
              <w:rPr/>
              <w:t>% </w:t>
            </w:r>
          </w:p>
        </w:tc>
      </w:tr>
      <w:tr>
        <w:trPr/>
        <w:tc>
          <w:tcPr>
            <w:tcW w:w="285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16"/>
        </w:rPr>
      </w:pPr>
      <w:r>
        <w:rPr>
          <w:rFonts w:ascii="Times New Roman" w:hAnsi="Times New Roman"/>
          <w:sz w:val="16"/>
        </w:rPr>
        <w:t xml:space="preserve">NM – Percentage is not meaningful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$642.7 million to $2,490.5 million for the year ended December 31, 2025 compared to $1,847.8 million for the year ended December 31, 2024, which was primarily driven by an increase in new construction of $481.7 million, revenues from acquisition activity of $105.3 million, growth in existing infrastructure of $40.0 million, and net increases of development sales and existing construction management that are no longer provided of $15.7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$437.6 million to $2,026.2 million for the year ended December 31, 2025 compared to $1,588.6 million for the year ended December 31, 2024, which generally correlates to the increase in revenues. Gross margin increased for the year ended December 31, 2025 as compared to the year ended December 31, 2024 due to productivity efficiencies, improved pricing and existing construction management activities for certain customers, and capitalized project development costs written off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increased by $83.1 million to $211.0 million for the year ended December 31, 2025 compared to $127.9 million for the year ended December 31, 2024, which was primarily as a result of additional changes of $32.6 million related to more investment in the organization to support administrative needs and new growth, $17.8 million of non-recurring costs related to mergers and acquisitions, integration costs, and costs to prepare the company for an initial public offering, $17.7 million of higher non-cash compensation expense, $14.0 million of higher incentive accrual, and $1.0 million of higher depreciation expense. </w:t>
      </w:r>
    </w:p>
    <w:p>
      <w:pPr>
        <w:pStyle w:val="TextBody"/>
        <w:bidi w:val="0"/>
        <w:spacing w:before="36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decreased by $8.6 million to $57.7 million for the year ended December 31, 2025 compared to $66.3 million for the year ended December 31, 2024, which was a result of fully amortizing intangible assets during the period. This was offset by amortization expense related to newly acquired intangible assets resulting from recent acquisitions. </w:t>
      </w:r>
    </w:p>
    <w:p>
      <w:pPr>
        <w:pStyle w:val="TextBody"/>
        <w:bidi w:val="0"/>
        <w:spacing w:before="360" w:after="0"/>
        <w:jc w:val="left"/>
        <w:rPr>
          <w:rFonts w:ascii="Times New Roman" w:hAnsi="Times New Roman"/>
          <w:i/>
          <w:sz w:val="20"/>
        </w:rPr>
      </w:pPr>
      <w:r>
        <w:rPr>
          <w:rFonts w:ascii="Times New Roman" w:hAnsi="Times New Roman"/>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Loss on debt extinguishment decreased to $0.0 million for the year ended December 31, 2025 compared to $4.4 million for the year ended December 31, 2024, which was primarily as a result of consolidating debt upon the completion of the CS Merger in the prior year.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$2.7 million to $52.7 million for the year ended December 31, 2025 compared to $55.4 million for the year ended December 31, 2024, which was primarily as a result of lower average interest rates on Term Loans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$2.6 million to $7.2 million for the year ended December 31, 2025 compared to $4.6 million for the year ended December 31, 2024, primarily as a result of $2.2 million of higher interest income on higher cash balances and $0.4 million of customer interest received from delayed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$2.7 million to $3.5 million for the year ended December 31, 2025 compared to the $0.8 million for the year ended December 31, 2024, which was primarily as a result of a $3.3 million income from non-recurring extinguishment of a liability, partially offset by a $0.8 million decrease in the change in the fair value of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$3.0 million to $3.6 million for the year ended year ended December 31, 2025 compared to $0.6 million for the year ended December 31, 2024, which was primarily due to the addition of federal income taxes and changes in state income taxes.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describes certain line items in our audited consolidated statements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provide EPC services to our customers primarily under lump sum contracts and O&amp;M services pursuant to long-term contracts that typically obligate the customer to pay us a fixed fee for operations and routine preventative maintenance and additional fees for corrective maintenance on a time and materials basis. We recognize revenue from EPC services using the percentage of completion method, which is generally measured as the percentage of costs incurred to date to total estimated costs. The percentage of completion is then multiplied by estimated total contract values to determine revenue in the period. During the year ended December 31, 2025 and year ended December 31, 2024, approximately 94.4% and 96.0%, respectively, of our revenues recognized were associated with this revenue recognition method. </w:t>
      </w:r>
    </w:p>
    <w:p>
      <w:pPr>
        <w:pStyle w:val="TextBody"/>
        <w:bidi w:val="0"/>
        <w:spacing w:before="240" w:after="0"/>
        <w:jc w:val="left"/>
        <w:rPr>
          <w:rFonts w:ascii="Times New Roman" w:hAnsi="Times New Roman"/>
          <w:sz w:val="20"/>
        </w:rPr>
      </w:pPr>
      <w:r>
        <w:rPr>
          <w:rFonts w:ascii="Times New Roman" w:hAnsi="Times New Roman"/>
          <w:sz w:val="20"/>
        </w:rPr>
        <w:t xml:space="preserve">Our actual revenues from EPC services can vary, sometimes substantially, from previous estimates due to changes in a variety of factors, including unforeseen or changed circumstances not included in management’s cost estimates or covered by the contracts. Changes in cost estimates on certain contracts may result in the issuance of change orders, which can be approved or unapproved by the customer, or the assertion of contract claims. Management determines the probability that costs associated with change orders and claims will be recovered based on, among other things, contractual entitlement, past practices with the customer and specific discussions or preliminary negotiations with the customer.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from O&amp;M services in two different ways. For standard O&amp;M service contracts with specified service periods, revenue is recognized on a straight-line basis over the service period. For other O&amp;M service contracts that are based on time and materials rates, such as repair, replacement, and refurbishment services, revenue is recognized using an output method. </w:t>
      </w:r>
    </w:p>
    <w:p>
      <w:pPr>
        <w:pStyle w:val="TextBody"/>
        <w:bidi w:val="0"/>
        <w:spacing w:before="240" w:after="0"/>
        <w:jc w:val="left"/>
        <w:rPr>
          <w:rFonts w:ascii="Times New Roman" w:hAnsi="Times New Roman"/>
          <w:sz w:val="20"/>
        </w:rPr>
      </w:pPr>
      <w:r>
        <w:rPr>
          <w:rFonts w:ascii="Times New Roman" w:hAnsi="Times New Roman"/>
          <w:sz w:val="20"/>
        </w:rPr>
        <w:t xml:space="preserve">Change orders are a type of variable consideration that are generally not distinct from the existing contract due to the significant integration service provided in the context of the contract. Estimates of variable consideration and the determination of whether to include estimated amounts in the transaction price are based on an assessment of the anticipated performance and all information that is reasonably available. We recognize revenue for variable consideration when it is probable that a significant reversal in the amount of cumulative revenue recognized will not occur or when the uncertainty associated with the variable consideration is resolved.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and Gross profit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 primarily of labor costs, costs for subcontractors, equipment rentals, materials and supplies, insurance, depreciation of property and equipment and software. Gross profit represents revenue less cost of revenue. Gross profit will generally be lower if actual costs to complete a contract exceed our contract costs estimated as we are unable to pass the increased cost to our customers. Estimated losses on contracts, or the excess of the total estimated costs to complete a contract over the contract’s total estimated contract price, are recognized in the period in which such losses are determined. Factors impacting our cost of revenue and gross profit are described in the “—Key Factors Affecting Our Performance” section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primarily consist of administrative salaries and benefits, non-cash stock compensation and related benefits for management, certain other employee expenses, including travel and training, marketing, office rent and utilities, professional fees, expenses associated with information technology used in administration of the business, and depreciation of property and equipment and software. We anticipate that our general and administrative expenses will increase as a result of becoming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consists of interest expense on outstanding debt obligations, finance leases and amortization of deferred financing costs.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of interest earned on cash, customer late payments and other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of fair value gains and losses on our investments, changes in fair value of derivative instruments and gain and losses on disposed long-term assets. </w:t>
      </w:r>
    </w:p>
    <w:p>
      <w:pPr>
        <w:pStyle w:val="TextBody"/>
        <w:bidi w:val="0"/>
        <w:spacing w:before="360" w:after="0"/>
        <w:jc w:val="left"/>
        <w:rPr>
          <w:rFonts w:ascii="Times New Roman" w:hAnsi="Times New Roman"/>
          <w:i/>
          <w:sz w:val="20"/>
        </w:rPr>
      </w:pPr>
      <w:r>
        <w:rPr>
          <w:rFonts w:ascii="Times New Roman" w:hAnsi="Times New Roman"/>
          <w:i/>
          <w:sz w:val="20"/>
        </w:rPr>
        <w:t xml:space="preserve">Non-controlling interest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our wholly-owned subsidiary was appointed as the sole managing member of SOLV Energy Holdings LLC pursuant to the SOLV Energy Holdings LLC Agreement. Because we indirectly manage and operate the business and control the strategic decisions and day-to-day operations of SOLV Energy Holdings LLC and have a substantial financial interest in SOLV Energy Holdings LLC, we consolidate the financial results of SOLV Energy Holdings LLC, and a portion of our net income (loss) is allocated to the non-controlling interest to reflect the entitlement of the Continuing Equity Owners to a portion of SOLV Energy Holdings LLC’s net income (loss). We hold approximately 56.3% of the LLC Interests (or approximately 57.0% if the underwriters exercise their option to purchase additional shares of Class A common stock in full), and the remaining LLC Interests are held by the Continuing Equity Owners.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Our business was historically operated through SOLV Energy Holdings LLC, a limited liability company. For U.S. federal income tax purposes, SOLV Energy Holdings LLC was historically treated as an entity disregarded as separate from SOLV Energy Parent Holdings LP, a Delaware limited partnership that is a partnership for U.S. federal income tax purposes. As a disregarded entity, SOLV Energy Holdings LLC was not subject to U.S. federal income tax; however, historical income tax expense reflects certain state and local taxes, and U.S. federal, state and local income taxes of any subsidiary corporations owned by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SOLV Energy Holdings LLC became a partnership for U.S. federal income tax purposes (which is a continuation of SOLV Energy Parent Holdings LP for U.S. federal income tax purposes) and SOLV Energy, Inc. acquired LLC Interests in SOLV Energy Holdings LLC. As a partnership for U.S. federal income tax purposes, SOLV Energy Holdings LLC is generally not subject to U.S. federal income tax. As a result of its ownership of LLC Interests, SOLV Energy, Inc., which is a corporation for U.S. federal income tax purposes, will be subject to U.S. federal, state and local income taxes with respect to its allocable share of any taxable income of SOLV Energy Holdings LLC and will be taxed at the prevailing corporate tax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Performance Indicators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managing our business and assessing financial performance, we supplement the information provided by the consolidated financial statements with other financial and operating metrics. These operating metrics are utilized by our management to evaluate our business performance, identify trends affecting our business and facilitate long-term strategic planning. </w:t>
      </w:r>
    </w:p>
    <w:p>
      <w:pPr>
        <w:pStyle w:val="TextBody"/>
        <w:bidi w:val="0"/>
        <w:spacing w:before="360" w:after="0"/>
        <w:jc w:val="left"/>
        <w:rPr>
          <w:rFonts w:ascii="Times New Roman" w:hAnsi="Times New Roman"/>
          <w:i/>
          <w:sz w:val="20"/>
        </w:rPr>
      </w:pPr>
      <w:r>
        <w:rPr>
          <w:rFonts w:ascii="Times New Roman" w:hAnsi="Times New Roman"/>
          <w:i/>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We use backlog to forecast our future capital needs and to identify future operating trends that may not otherwise be apparent. We present two measures of backlog: (1) Next 12 Months Backlog, which includes Signed Backlog and Awarded Backlog, and Estimated Corrective Maintenance Backlog that we anticipate will be recognized as revenue over the next twelve months, and (2) Total Backlog, which includes all Signed Backlog and Awarded Backlog, and Estimated Corrective Maintenance Backlog. </w:t>
      </w:r>
    </w:p>
    <w:p>
      <w:pPr>
        <w:pStyle w:val="TextBody"/>
        <w:bidi w:val="0"/>
        <w:spacing w:before="240" w:after="0"/>
        <w:jc w:val="left"/>
        <w:rPr>
          <w:rFonts w:ascii="Times New Roman" w:hAnsi="Times New Roman"/>
          <w:sz w:val="20"/>
        </w:rPr>
      </w:pPr>
      <w:r>
        <w:rPr>
          <w:rFonts w:ascii="Times New Roman" w:hAnsi="Times New Roman"/>
          <w:sz w:val="20"/>
        </w:rPr>
        <w:t xml:space="preserve">Backlog is a measure commonly used in our industry but not recognized under GAAP. We believe this measure enables management to more effectively forecast our future revenues and identify future operating trends that may not otherwise be apparent. We believe this measure is also useful for investors in forecasting our future results and comparing us to our competitors. Our methodology for determining backlog may not be comparable to the methodologies used by other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is defined as gross profit divided by total revenue. We use this metric because it provides insights into the profitability of our jobs and helps us make informed decisions about our cost management.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74"/>
        <w:gridCol w:w="265"/>
        <w:gridCol w:w="140"/>
        <w:gridCol w:w="1044"/>
        <w:gridCol w:w="276"/>
        <w:gridCol w:w="173"/>
        <w:gridCol w:w="140"/>
        <w:gridCol w:w="1044"/>
        <w:gridCol w:w="276"/>
        <w:gridCol w:w="173"/>
        <w:gridCol w:w="140"/>
        <w:gridCol w:w="1044"/>
        <w:gridCol w:w="283"/>
      </w:tblGrid>
      <w:tr>
        <w:trPr/>
        <w:tc>
          <w:tcPr>
            <w:tcW w:w="3574"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5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445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83" w:type="dxa"/>
            <w:tcBorders/>
            <w:vAlign w:val="bottom"/>
          </w:tcPr>
          <w:p>
            <w:pPr>
              <w:pStyle w:val="TableContents"/>
              <w:bidi w:val="0"/>
              <w:spacing w:before="0" w:after="283"/>
              <w:jc w:val="left"/>
              <w:rPr/>
            </w:pPr>
            <w:r>
              <w:rPr/>
              <w:t> </w:t>
            </w:r>
          </w:p>
        </w:tc>
      </w:tr>
      <w:tr>
        <w:trPr/>
        <w:tc>
          <w:tcPr>
            <w:tcW w:w="35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3" w:type="dxa"/>
            <w:tcBorders/>
            <w:vAlign w:val="bottom"/>
          </w:tcPr>
          <w:p>
            <w:pPr>
              <w:pStyle w:val="TableContents"/>
              <w:bidi w:val="0"/>
              <w:spacing w:before="0" w:after="283"/>
              <w:jc w:val="left"/>
              <w:rPr/>
            </w:pPr>
            <w:r>
              <w:rPr/>
              <w:t> </w:t>
            </w:r>
          </w:p>
        </w:tc>
      </w:tr>
      <w:tr>
        <w:trPr/>
        <w:tc>
          <w:tcPr>
            <w:tcW w:w="3574" w:type="dxa"/>
            <w:tcBorders/>
            <w:vAlign w:val="bottom"/>
          </w:tcPr>
          <w:p>
            <w:pPr>
              <w:pStyle w:val="TableContents"/>
              <w:bidi w:val="0"/>
              <w:spacing w:before="0" w:after="283"/>
              <w:jc w:val="left"/>
              <w:rPr>
                <w:i/>
              </w:rPr>
            </w:pPr>
            <w:r>
              <w:rPr>
                <w:i/>
              </w:rPr>
              <w:t>(in thousands, except for gross margin)</w:t>
            </w:r>
          </w:p>
        </w:tc>
        <w:tc>
          <w:tcPr>
            <w:tcW w:w="265"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3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2,490,496</w:t>
            </w:r>
          </w:p>
        </w:tc>
        <w:tc>
          <w:tcPr>
            <w:tcW w:w="27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1,847,803</w:t>
            </w:r>
          </w:p>
        </w:tc>
        <w:tc>
          <w:tcPr>
            <w:tcW w:w="27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2,100,643</w:t>
            </w:r>
          </w:p>
        </w:tc>
        <w:tc>
          <w:tcPr>
            <w:tcW w:w="283" w:type="dxa"/>
            <w:tcBorders/>
            <w:shd w:fill="CCEEFF" w:val="clear"/>
            <w:vAlign w:val="bottom"/>
          </w:tcPr>
          <w:p>
            <w:pPr>
              <w:pStyle w:val="TableContents"/>
              <w:bidi w:val="0"/>
              <w:spacing w:before="0" w:after="283"/>
              <w:jc w:val="left"/>
              <w:rPr/>
            </w:pPr>
            <w:r>
              <w:rPr/>
              <w:t> </w:t>
            </w:r>
          </w:p>
        </w:tc>
      </w:tr>
      <w:tr>
        <w:trPr/>
        <w:tc>
          <w:tcPr>
            <w:tcW w:w="357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2,026,263</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1,588,639</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1,990,648</w:t>
            </w:r>
          </w:p>
        </w:tc>
        <w:tc>
          <w:tcPr>
            <w:tcW w:w="283" w:type="dxa"/>
            <w:tcBorders/>
            <w:vAlign w:val="bottom"/>
          </w:tcPr>
          <w:p>
            <w:pPr>
              <w:pStyle w:val="TableContents"/>
              <w:bidi w:val="0"/>
              <w:spacing w:before="0" w:after="283"/>
              <w:jc w:val="left"/>
              <w:rPr/>
            </w:pPr>
            <w:r>
              <w:rPr/>
              <w:t> </w:t>
            </w:r>
          </w:p>
        </w:tc>
      </w:tr>
      <w:tr>
        <w:trPr/>
        <w:tc>
          <w:tcPr>
            <w:tcW w:w="35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464,233</w:t>
            </w:r>
          </w:p>
        </w:tc>
        <w:tc>
          <w:tcPr>
            <w:tcW w:w="27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259,164</w:t>
            </w:r>
          </w:p>
        </w:tc>
        <w:tc>
          <w:tcPr>
            <w:tcW w:w="276"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4" w:type="dxa"/>
            <w:tcBorders/>
            <w:shd w:fill="CCEEFF" w:val="clear"/>
            <w:vAlign w:val="bottom"/>
          </w:tcPr>
          <w:p>
            <w:pPr>
              <w:pStyle w:val="TableContents"/>
              <w:bidi w:val="0"/>
              <w:spacing w:before="0" w:after="283"/>
              <w:jc w:val="right"/>
              <w:rPr/>
            </w:pPr>
            <w:r>
              <w:rPr/>
              <w:t>109,995</w:t>
            </w:r>
          </w:p>
        </w:tc>
        <w:tc>
          <w:tcPr>
            <w:tcW w:w="283" w:type="dxa"/>
            <w:tcBorders/>
            <w:shd w:fill="CCEEFF" w:val="clear"/>
            <w:vAlign w:val="bottom"/>
          </w:tcPr>
          <w:p>
            <w:pPr>
              <w:pStyle w:val="TableContents"/>
              <w:bidi w:val="0"/>
              <w:spacing w:before="0" w:after="283"/>
              <w:jc w:val="left"/>
              <w:rPr/>
            </w:pPr>
            <w:r>
              <w:rPr/>
              <w:t> </w:t>
            </w:r>
          </w:p>
        </w:tc>
      </w:tr>
      <w:tr>
        <w:trPr/>
        <w:tc>
          <w:tcPr>
            <w:tcW w:w="3574"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18.6</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14.0</w:t>
            </w:r>
          </w:p>
        </w:tc>
        <w:tc>
          <w:tcPr>
            <w:tcW w:w="2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5.2</w:t>
            </w:r>
          </w:p>
        </w:tc>
        <w:tc>
          <w:tcPr>
            <w:tcW w:w="28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EBITDA and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financial measures determined in accordance with GAAP, we consider a variety of financial and operating measures in assessing the performance of our business. The key non-GAAP measures we use are EBITDA and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EBITDA represents net income (loss) attributable to controlling interest before interest, income taxes, depreciation and amortization. Adjusted EBITDA is defined as EBITDA adjusted to exclude: (i) non-cash compensation expense; (ii) the (gain) or loss on the disposal of assets and the extinguishment of debt; (iii) the change in fair value of derivatives; (iv) the change in fair value of investments; (v) non-recurring private equity management fees; and (vi)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presentation of EBITDA and Adjusted EBITDA should not be construed to imply that our future results will be unaffected by these items. We present EBITDA and Adjusted EBITDA because we believe they provide a more complete understanding of the factors and trends affecting our business than GAAP measures alone.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have important limitations as analytical tools, and such measures should not be considered either in isolation or as a substitute for analyzing our results as reported under GAAP. Some of these limitations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interest expense or the cash requirements necessary to service interest or principal payments on our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tax expenses or the cash requirements to pay our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any cash requirements for such replacements;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and Adjusted EBITDA differently, limiting their usefulness as comparative measures.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evaluating EBITDA and Adjusted EBITDA, you should be aware that in the future we may incur expenses similar to those eliminated in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reconciles the differences between Adjusted EBITDA and net income (loss) attributable to controlling interests, which is the most comparable GAAP measure: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95"/>
        <w:gridCol w:w="291"/>
        <w:gridCol w:w="140"/>
        <w:gridCol w:w="803"/>
        <w:gridCol w:w="155"/>
        <w:gridCol w:w="241"/>
        <w:gridCol w:w="140"/>
        <w:gridCol w:w="803"/>
        <w:gridCol w:w="155"/>
        <w:gridCol w:w="241"/>
        <w:gridCol w:w="140"/>
        <w:gridCol w:w="909"/>
        <w:gridCol w:w="159"/>
      </w:tblGrid>
      <w:tr>
        <w:trPr/>
        <w:tc>
          <w:tcPr>
            <w:tcW w:w="439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9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72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i/>
              </w:rPr>
            </w:pPr>
            <w:r>
              <w:rPr>
                <w:i/>
              </w:rPr>
              <w:t>(in thousands)</w:t>
            </w:r>
          </w:p>
        </w:tc>
        <w:tc>
          <w:tcPr>
            <w:tcW w:w="291"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4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4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149,183</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9" w:type="dxa"/>
            <w:tcBorders/>
            <w:shd w:fill="CCEEFF" w:val="clear"/>
            <w:vAlign w:val="bottom"/>
          </w:tcPr>
          <w:p>
            <w:pPr>
              <w:pStyle w:val="TableContents"/>
              <w:bidi w:val="0"/>
              <w:spacing w:before="0" w:after="283"/>
              <w:jc w:val="right"/>
              <w:rPr/>
            </w:pPr>
            <w:r>
              <w:rPr/>
              <w:t>(109,844</w:t>
            </w:r>
          </w:p>
        </w:tc>
        <w:tc>
          <w:tcPr>
            <w:tcW w:w="159" w:type="dxa"/>
            <w:tcBorders/>
            <w:shd w:fill="CCEEFF" w:val="clear"/>
            <w:vAlign w:val="bottom"/>
          </w:tcPr>
          <w:p>
            <w:pPr>
              <w:pStyle w:val="TableContents"/>
              <w:bidi w:val="0"/>
              <w:spacing w:before="0" w:after="283"/>
              <w:jc w:val="left"/>
              <w:rPr/>
            </w:pPr>
            <w:r>
              <w:rPr/>
              <w:t>) </w:t>
            </w:r>
          </w:p>
        </w:tc>
      </w:tr>
      <w:tr>
        <w:trPr/>
        <w:tc>
          <w:tcPr>
            <w:tcW w:w="439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52,730</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59,702</w:t>
            </w:r>
          </w:p>
        </w:tc>
        <w:tc>
          <w:tcPr>
            <w:tcW w:w="159" w:type="dxa"/>
            <w:tcBorders/>
            <w:vAlign w:val="bottom"/>
          </w:tcPr>
          <w:p>
            <w:pPr>
              <w:pStyle w:val="TableContents"/>
              <w:bidi w:val="0"/>
              <w:spacing w:before="0" w:after="283"/>
              <w:jc w:val="left"/>
              <w:rPr/>
            </w:pPr>
            <w:r>
              <w:rPr/>
              <w:t> </w:t>
            </w:r>
          </w:p>
        </w:tc>
      </w:tr>
      <w:tr>
        <w:trPr/>
        <w:tc>
          <w:tcPr>
            <w:tcW w:w="4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(7,156</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(1,634</w:t>
            </w:r>
          </w:p>
        </w:tc>
        <w:tc>
          <w:tcPr>
            <w:tcW w:w="159" w:type="dxa"/>
            <w:tcBorders/>
            <w:shd w:fill="CCEEFF" w:val="clear"/>
            <w:vAlign w:val="bottom"/>
          </w:tcPr>
          <w:p>
            <w:pPr>
              <w:pStyle w:val="TableContents"/>
              <w:bidi w:val="0"/>
              <w:spacing w:before="0" w:after="283"/>
              <w:jc w:val="left"/>
              <w:rPr/>
            </w:pPr>
            <w:r>
              <w:rPr/>
              <w:t>) </w:t>
            </w:r>
          </w:p>
        </w:tc>
      </w:tr>
      <w:tr>
        <w:trPr/>
        <w:tc>
          <w:tcPr>
            <w:tcW w:w="439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3,643</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204</w:t>
            </w:r>
          </w:p>
        </w:tc>
        <w:tc>
          <w:tcPr>
            <w:tcW w:w="159" w:type="dxa"/>
            <w:tcBorders/>
            <w:vAlign w:val="bottom"/>
          </w:tcPr>
          <w:p>
            <w:pPr>
              <w:pStyle w:val="TableContents"/>
              <w:bidi w:val="0"/>
              <w:spacing w:before="0" w:after="283"/>
              <w:jc w:val="left"/>
              <w:rPr/>
            </w:pPr>
            <w:r>
              <w:rPr/>
              <w:t> </w:t>
            </w:r>
          </w:p>
        </w:tc>
      </w:tr>
      <w:tr>
        <w:trPr/>
        <w:tc>
          <w:tcPr>
            <w:tcW w:w="4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85,543</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84,836</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81,832</w:t>
            </w:r>
          </w:p>
        </w:tc>
        <w:tc>
          <w:tcPr>
            <w:tcW w:w="159" w:type="dxa"/>
            <w:tcBorders/>
            <w:shd w:fill="CCEEFF" w:val="clear"/>
            <w:vAlign w:val="bottom"/>
          </w:tcPr>
          <w:p>
            <w:pPr>
              <w:pStyle w:val="TableContents"/>
              <w:bidi w:val="0"/>
              <w:spacing w:before="0" w:after="283"/>
              <w:jc w:val="left"/>
              <w:rPr/>
            </w:pPr>
            <w:r>
              <w:rPr/>
              <w:t> </w:t>
            </w:r>
          </w:p>
        </w:tc>
      </w:tr>
      <w:tr>
        <w:trPr/>
        <w:tc>
          <w:tcPr>
            <w:tcW w:w="439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95"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283,943</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146,149</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30,260</w:t>
            </w:r>
          </w:p>
        </w:tc>
        <w:tc>
          <w:tcPr>
            <w:tcW w:w="159" w:type="dxa"/>
            <w:tcBorders/>
            <w:vAlign w:val="bottom"/>
          </w:tcPr>
          <w:p>
            <w:pPr>
              <w:pStyle w:val="TableContents"/>
              <w:bidi w:val="0"/>
              <w:spacing w:before="0" w:after="283"/>
              <w:jc w:val="left"/>
              <w:rPr/>
            </w:pPr>
            <w:r>
              <w:rPr/>
              <w:t> </w:t>
            </w:r>
          </w:p>
        </w:tc>
      </w:tr>
      <w:tr>
        <w:trPr/>
        <w:tc>
          <w:tcPr>
            <w:tcW w:w="4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27,326</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2,375</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4757"/>
        <w:gridCol w:w="244"/>
        <w:gridCol w:w="140"/>
        <w:gridCol w:w="822"/>
        <w:gridCol w:w="60"/>
        <w:gridCol w:w="244"/>
        <w:gridCol w:w="140"/>
        <w:gridCol w:w="822"/>
        <w:gridCol w:w="161"/>
        <w:gridCol w:w="190"/>
        <w:gridCol w:w="140"/>
        <w:gridCol w:w="686"/>
        <w:gridCol w:w="166"/>
      </w:tblGrid>
      <w:tr>
        <w:trPr/>
        <w:tc>
          <w:tcPr>
            <w:tcW w:w="4757"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disposal of property and equipment</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215</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4,398</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(236</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220</w:t>
            </w:r>
          </w:p>
        </w:tc>
        <w:tc>
          <w:tcPr>
            <w:tcW w:w="166" w:type="dxa"/>
            <w:tcBorders/>
            <w:shd w:fill="CCEEFF" w:val="clear"/>
            <w:vAlign w:val="bottom"/>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(750</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(1,803</w:t>
            </w:r>
          </w:p>
        </w:tc>
        <w:tc>
          <w:tcPr>
            <w:tcW w:w="166" w:type="dxa"/>
            <w:tcBorders/>
            <w:vAlign w:val="bottom"/>
          </w:tcPr>
          <w:p>
            <w:pPr>
              <w:pStyle w:val="TableContents"/>
              <w:bidi w:val="0"/>
              <w:spacing w:before="0" w:after="283"/>
              <w:jc w:val="left"/>
              <w:rPr/>
            </w:pPr>
            <w:r>
              <w:rPr/>
              <w:t>) </w:t>
            </w:r>
          </w:p>
        </w:tc>
      </w:tr>
      <w:tr>
        <w:trPr/>
        <w:tc>
          <w:tcPr>
            <w:tcW w:w="4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costs(1)</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30,353</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6,750</w:t>
            </w:r>
          </w:p>
        </w:tc>
        <w:tc>
          <w:tcPr>
            <w:tcW w:w="16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21,556</w:t>
            </w:r>
          </w:p>
        </w:tc>
        <w:tc>
          <w:tcPr>
            <w:tcW w:w="166" w:type="dxa"/>
            <w:tcBorders/>
            <w:shd w:fill="CCEEFF" w:val="clear"/>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5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341,677</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165,133</w:t>
            </w:r>
          </w:p>
        </w:tc>
        <w:tc>
          <w:tcPr>
            <w:tcW w:w="16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52,608</w:t>
            </w:r>
          </w:p>
        </w:tc>
        <w:tc>
          <w:tcPr>
            <w:tcW w:w="166" w:type="dxa"/>
            <w:tcBorders/>
            <w:vAlign w:val="bottom"/>
          </w:tcPr>
          <w:p>
            <w:pPr>
              <w:pStyle w:val="TableContents"/>
              <w:bidi w:val="0"/>
              <w:spacing w:before="0" w:after="283"/>
              <w:jc w:val="left"/>
              <w:rPr/>
            </w:pPr>
            <w:r>
              <w:rPr/>
              <w:t> </w:t>
            </w:r>
          </w:p>
        </w:tc>
      </w:tr>
      <w:tr>
        <w:trPr/>
        <w:tc>
          <w:tcPr>
            <w:tcW w:w="4757"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that will no longer be paid following the closing of the IPO, non-recurring transition costs related to our separation from Swinerton, one-time IPO related costs, non-recurring transaction and integration costs and other non-cash or non-recurring expenses. We recorded management fees, including reimbursable expenses, of $3,454, $3,120 and $3,114 in the years ended December 31, 2025, 2024, and 2023, respectively. For the year ended December 31, 2025, we recorded $20,275 related to transaction costs, integration costs, non-capitalized IPO related costs, and a one-time write off of project development costs for $6,377 related to the termination of CS Energy’s project development business. In 2023, we recorded a $16,122 expense for a legal settlement related to certain legacy projects at CS Energy prior to the merger which we consider to be a non-recurring event due to the nature of the settlement.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i/>
          <w:sz w:val="20"/>
        </w:rPr>
      </w:pPr>
      <w:r>
        <w:rPr>
          <w:rFonts w:ascii="Times New Roman" w:hAnsi="Times New Roman"/>
          <w:i/>
          <w:sz w:val="20"/>
        </w:rPr>
        <w:t xml:space="preserve">IPO and Subsequent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2025, we completed our IPO and received $552.5 million net proceeds from the sale of 23,575,000 shares of our Class A common stock at a price to the public of $25.00 per share. The net proceeds from our IPO were used to purchase 23,575,000 newly issued LLC Interests directly from LLC at a price per unit equal to the IPO price per share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SOLV Energy Inc. caused SOLV Energy Holdings LLC to use the net proceeds received from the sale of LLC Interests to SOLV Energy, Inc. to repay in full approximately $405.6 million of amounts due upon repayment under the Term Loans, and the remainder for general corporate purposes, which could include growth initiatives, including potential merger and acquisition opportunities. Additionally, we have entered into the New Revolving Credit Facility with various lenders in an aggregate amount of approximately $200.0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Sources and Uses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funded our operations and business activities primarily from cash flows from operating activities as well as borrowings under our Prior Credit Facilities. As of December 31, 2025, we had $394.9 million of cash and $78.8 million of undrawn availability under our Prior Revolving Facility. We believe that our existing cash balances, cash flows from our operations and borrowings under our New Revolving Credit Facility will be sufficient to fund our operations for at least the next twelve months. </w:t>
      </w:r>
    </w:p>
    <w:p>
      <w:pPr>
        <w:pStyle w:val="TextBody"/>
        <w:bidi w:val="0"/>
        <w:spacing w:before="360" w:after="0"/>
        <w:jc w:val="left"/>
        <w:rPr>
          <w:rFonts w:ascii="Times New Roman" w:hAnsi="Times New Roman"/>
          <w:i/>
          <w:sz w:val="20"/>
        </w:rPr>
      </w:pPr>
      <w:r>
        <w:rPr>
          <w:rFonts w:ascii="Times New Roman" w:hAnsi="Times New Roman"/>
          <w:i/>
          <w:sz w:val="20"/>
        </w:rPr>
        <w:t xml:space="preserve">Historical indebtedness as of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Prior to the IPO, our indebtedness primarily consisted of our Term Loans and Prior Revolving Facility. Our Term Loans had an aggregate principal amount of $401.2 million outstanding as of December 31, 2025. Our Prior Revolving Facility had no outstanding cash borrowings and $11.2 million in letters of credit issued and outstanding. </w:t>
      </w:r>
    </w:p>
    <w:p>
      <w:pPr>
        <w:pStyle w:val="TextBody"/>
        <w:bidi w:val="0"/>
        <w:spacing w:before="240" w:after="0"/>
        <w:jc w:val="left"/>
        <w:rPr>
          <w:rFonts w:ascii="Times New Roman" w:hAnsi="Times New Roman"/>
          <w:sz w:val="20"/>
        </w:rPr>
      </w:pPr>
      <w:r>
        <w:rPr>
          <w:rFonts w:ascii="Times New Roman" w:hAnsi="Times New Roman"/>
          <w:sz w:val="20"/>
        </w:rPr>
        <w:t>These facilities contained customary covenants and events of default that, among other things, restricted our ability to incur additional indebtedness, pay dividends, make certain investments and engage in certain other transactions. Additional details regarding the terms and conditions of these facilities, including interest rates, maturities, covenants and collateral, are provided in Note 8—</w:t>
      </w:r>
      <w:r>
        <w:rPr>
          <w:rFonts w:ascii="Times New Roman" w:hAnsi="Times New Roman"/>
          <w:i/>
          <w:sz w:val="20"/>
        </w:rPr>
        <w:t xml:space="preserve">Debt Obligations </w:t>
      </w:r>
      <w:r>
        <w:rPr>
          <w:rFonts w:ascii="Times New Roman" w:hAnsi="Times New Roman"/>
          <w:sz w:val="20"/>
        </w:rPr>
        <w:t xml:space="preserve">in “Item 8. Financial Statements and Supplementary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New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we entered into the New Revolving Credit Facility with various lenders in an aggregate amount of $200.0 million (including a letters of credit sub-facility in an aggregate face amount of up to $100.0 million). The New Revolving Credit Facility bears interest at a rate per annum equal to either of the following, plus, in each case, an applicable margin ranging from 0.50% to 1.25%, with respect base rate borrowings and 1.50% to 2.25% with respect to SOFR borrowings, in each case, based on our total net leverage ratio: (a) the base rate and (b) a benchmark reference rate. The New Revolving Credit Facility is subject to an annual unused line fee which shall accrue at a rate ranging from 0.20% to 0.35%, based on the total net leverage ratio. The financial covenants under the New Revolving Credit Facility include maintaining a total net leverage ratio not to exceed 3.50 to 1.00 (increasing to 4.00 to 1.00 in the four fiscal quarters upon the occurrence of a material acquisition) and a minimum interest charge coverage ratio of 3.00 to 1.00. The New Revolving Credit Facility matures on the date that is five years after execution. </w:t>
      </w:r>
    </w:p>
    <w:p>
      <w:pPr>
        <w:pStyle w:val="TextBody"/>
        <w:bidi w:val="0"/>
        <w:spacing w:before="360" w:after="0"/>
        <w:jc w:val="left"/>
        <w:rPr>
          <w:rFonts w:ascii="Times New Roman" w:hAnsi="Times New Roman"/>
          <w:i/>
          <w:sz w:val="20"/>
        </w:rPr>
      </w:pPr>
      <w:r>
        <w:rPr>
          <w:rFonts w:ascii="Times New Roman" w:hAnsi="Times New Roman"/>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two equipment term loans, both of which are collateralized by certain owned construction equipment, with initial principal amounts of $25.0 million and $14.5 million. The loans have a one-time late payment fee equal to five percent on the sum of unpaid rent ten days overdue. For any other subsequent overdue payments, such amount will bear interest at eighteen percent per annum until paid. For both loans, we did not incur any late payment penalties for the years ended December 31, 2025, 2024, or 2023. As of December 31, 2025, we had $27.8 million of debt outstanding under the equipment term loans. </w:t>
      </w:r>
    </w:p>
    <w:p>
      <w:pPr>
        <w:pStyle w:val="TextBody"/>
        <w:bidi w:val="0"/>
        <w:spacing w:before="360" w:after="0"/>
        <w:jc w:val="left"/>
        <w:rPr>
          <w:rFonts w:ascii="Times New Roman" w:hAnsi="Times New Roman"/>
          <w:i/>
          <w:sz w:val="20"/>
        </w:rPr>
      </w:pPr>
      <w:r>
        <w:rPr>
          <w:rFonts w:ascii="Times New Roman" w:hAnsi="Times New Roman"/>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Significant contractual obligations as of December 31, 2025, including the future periods in which payments are expected, include our long-term debt obligations. As of December 31, 2025, we had $397.1 million and $4.1 million of long-term and short-term debt, respectively, outstanding. In connection with the completion of the IPO and the application of the net proceeds therefrom, the outstanding indebtedness under its existing term loan facilities were repaid in full.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our contractual obligations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4"/>
        <w:gridCol w:w="193"/>
        <w:gridCol w:w="140"/>
        <w:gridCol w:w="834"/>
        <w:gridCol w:w="60"/>
        <w:gridCol w:w="193"/>
        <w:gridCol w:w="169"/>
        <w:gridCol w:w="857"/>
        <w:gridCol w:w="60"/>
        <w:gridCol w:w="193"/>
        <w:gridCol w:w="140"/>
        <w:gridCol w:w="834"/>
        <w:gridCol w:w="60"/>
        <w:gridCol w:w="193"/>
        <w:gridCol w:w="140"/>
        <w:gridCol w:w="728"/>
        <w:gridCol w:w="60"/>
        <w:gridCol w:w="193"/>
        <w:gridCol w:w="345"/>
        <w:gridCol w:w="998"/>
        <w:gridCol w:w="71"/>
      </w:tblGrid>
      <w:tr>
        <w:trPr/>
        <w:tc>
          <w:tcPr>
            <w:tcW w:w="3744"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744" w:type="dxa"/>
            <w:tcBorders/>
            <w:vAlign w:val="bottom"/>
          </w:tcPr>
          <w:p>
            <w:pPr>
              <w:pStyle w:val="TableContents"/>
              <w:bidi w:val="0"/>
              <w:spacing w:before="0" w:after="283"/>
              <w:jc w:val="left"/>
              <w:rPr>
                <w:i/>
              </w:rPr>
            </w:pPr>
            <w:r>
              <w:rPr>
                <w:i/>
              </w:rPr>
              <w:t>(in thousands)</w:t>
            </w:r>
          </w:p>
        </w:tc>
        <w:tc>
          <w:tcPr>
            <w:tcW w:w="193"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w:t>
              <w:br/>
              <w:t>1 Year</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 Years</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3-5 Years</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More than 5</w:t>
              <w:br/>
              <w:t>Years and</w:t>
              <w:br/>
              <w:t>Thereafter</w:t>
            </w:r>
          </w:p>
        </w:tc>
        <w:tc>
          <w:tcPr>
            <w:tcW w:w="71" w:type="dxa"/>
            <w:tcBorders/>
            <w:vAlign w:val="bottom"/>
          </w:tcPr>
          <w:p>
            <w:pPr>
              <w:pStyle w:val="TableContents"/>
              <w:bidi w:val="0"/>
              <w:spacing w:before="0" w:after="283"/>
              <w:jc w:val="left"/>
              <w:rPr/>
            </w:pPr>
            <w:r>
              <w:rPr/>
              <w:t> </w:t>
            </w:r>
          </w:p>
        </w:tc>
      </w:tr>
      <w:tr>
        <w:trPr/>
        <w:tc>
          <w:tcPr>
            <w:tcW w:w="3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401,191</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4,063</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397,128</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Equipment Financing</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27,843</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6,526</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20,972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345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3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45,408</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12,882</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29,533</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2,993</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9,825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2,956</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6,395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474</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3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170,190</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47,399</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90,061</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32,730</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744"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74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654,457</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73,826</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544,089</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36,542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3744"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5"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payments we may be required to make under the Tax Receivable Agreement may be significant and are not reflected in the contractual obligations tables set forth above, as we are currently unable to estimate the amounts and timing of the payments that may be due thereunder. For a description of the terms of the Tax Receivable Agreement, see “Item 13. Certain Relationships and Related Transactions, and Director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our consolidated statements of cash flows for the years ended December 31, 2025, 2024, and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15"/>
        <w:gridCol w:w="301"/>
        <w:gridCol w:w="140"/>
        <w:gridCol w:w="843"/>
        <w:gridCol w:w="164"/>
        <w:gridCol w:w="247"/>
        <w:gridCol w:w="140"/>
        <w:gridCol w:w="843"/>
        <w:gridCol w:w="164"/>
        <w:gridCol w:w="247"/>
        <w:gridCol w:w="140"/>
        <w:gridCol w:w="757"/>
        <w:gridCol w:w="171"/>
      </w:tblGrid>
      <w:tr>
        <w:trPr/>
        <w:tc>
          <w:tcPr>
            <w:tcW w:w="4415"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36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71" w:type="dxa"/>
            <w:tcBorders/>
            <w:vAlign w:val="bottom"/>
          </w:tcPr>
          <w:p>
            <w:pPr>
              <w:pStyle w:val="TableContents"/>
              <w:bidi w:val="0"/>
              <w:spacing w:before="0" w:after="283"/>
              <w:jc w:val="left"/>
              <w:rPr/>
            </w:pPr>
            <w:r>
              <w:rPr/>
              <w:t> </w:t>
            </w:r>
          </w:p>
        </w:tc>
      </w:tr>
      <w:tr>
        <w:trPr/>
        <w:tc>
          <w:tcPr>
            <w:tcW w:w="441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1" w:type="dxa"/>
            <w:tcBorders/>
            <w:vAlign w:val="bottom"/>
          </w:tcPr>
          <w:p>
            <w:pPr>
              <w:pStyle w:val="TableContents"/>
              <w:bidi w:val="0"/>
              <w:spacing w:before="0" w:after="283"/>
              <w:jc w:val="left"/>
              <w:rPr/>
            </w:pPr>
            <w:r>
              <w:rPr/>
              <w:t> </w:t>
            </w:r>
          </w:p>
        </w:tc>
      </w:tr>
      <w:tr>
        <w:trPr/>
        <w:tc>
          <w:tcPr>
            <w:tcW w:w="4415" w:type="dxa"/>
            <w:tcBorders/>
            <w:vAlign w:val="bottom"/>
          </w:tcPr>
          <w:p>
            <w:pPr>
              <w:pStyle w:val="TableContents"/>
              <w:bidi w:val="0"/>
              <w:spacing w:before="0" w:after="283"/>
              <w:jc w:val="left"/>
              <w:rPr>
                <w:i/>
              </w:rPr>
            </w:pPr>
            <w:r>
              <w:rPr>
                <w:i/>
              </w:rPr>
              <w:t>(in thousands)</w:t>
            </w:r>
          </w:p>
        </w:tc>
        <w:tc>
          <w:tcPr>
            <w:tcW w:w="301"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97" w:type="dxa"/>
            <w:gridSpan w:val="2"/>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4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331,645</w:t>
            </w:r>
          </w:p>
        </w:tc>
        <w:tc>
          <w:tcPr>
            <w:tcW w:w="16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117,613</w:t>
            </w:r>
          </w:p>
        </w:tc>
        <w:tc>
          <w:tcPr>
            <w:tcW w:w="16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50,292</w:t>
            </w:r>
          </w:p>
        </w:tc>
        <w:tc>
          <w:tcPr>
            <w:tcW w:w="171" w:type="dxa"/>
            <w:tcBorders/>
            <w:shd w:fill="CCEEFF" w:val="clear"/>
            <w:vAlign w:val="bottom"/>
          </w:tcPr>
          <w:p>
            <w:pPr>
              <w:pStyle w:val="TableContents"/>
              <w:bidi w:val="0"/>
              <w:spacing w:before="0" w:after="283"/>
              <w:jc w:val="left"/>
              <w:rPr/>
            </w:pPr>
            <w:r>
              <w:rPr/>
              <w:t> </w:t>
            </w:r>
          </w:p>
        </w:tc>
      </w:tr>
      <w:tr>
        <w:trPr/>
        <w:tc>
          <w:tcPr>
            <w:tcW w:w="441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3" w:type="dxa"/>
            <w:tcBorders/>
            <w:vAlign w:val="bottom"/>
          </w:tcPr>
          <w:p>
            <w:pPr>
              <w:pStyle w:val="TableContents"/>
              <w:bidi w:val="0"/>
              <w:spacing w:before="0" w:after="283"/>
              <w:jc w:val="right"/>
              <w:rPr/>
            </w:pPr>
            <w:r>
              <w:rPr/>
              <w:t>(76,742</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3" w:type="dxa"/>
            <w:tcBorders/>
            <w:vAlign w:val="bottom"/>
          </w:tcPr>
          <w:p>
            <w:pPr>
              <w:pStyle w:val="TableContents"/>
              <w:bidi w:val="0"/>
              <w:spacing w:before="0" w:after="283"/>
              <w:jc w:val="right"/>
              <w:rPr/>
            </w:pPr>
            <w:r>
              <w:rPr/>
              <w:t>(8,269</w:t>
            </w:r>
          </w:p>
        </w:tc>
        <w:tc>
          <w:tcPr>
            <w:tcW w:w="16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(13,858</w:t>
            </w:r>
          </w:p>
        </w:tc>
        <w:tc>
          <w:tcPr>
            <w:tcW w:w="171" w:type="dxa"/>
            <w:tcBorders/>
            <w:vAlign w:val="bottom"/>
          </w:tcPr>
          <w:p>
            <w:pPr>
              <w:pStyle w:val="TableContents"/>
              <w:bidi w:val="0"/>
              <w:spacing w:before="0" w:after="283"/>
              <w:jc w:val="left"/>
              <w:rPr/>
            </w:pPr>
            <w:r>
              <w:rPr/>
              <w:t>) </w:t>
            </w:r>
          </w:p>
        </w:tc>
      </w:tr>
      <w:tr>
        <w:trPr/>
        <w:tc>
          <w:tcPr>
            <w:tcW w:w="4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(68,014</w:t>
            </w:r>
          </w:p>
        </w:tc>
        <w:tc>
          <w:tcPr>
            <w:tcW w:w="16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3" w:type="dxa"/>
            <w:tcBorders/>
            <w:shd w:fill="CCEEFF" w:val="clear"/>
            <w:vAlign w:val="bottom"/>
          </w:tcPr>
          <w:p>
            <w:pPr>
              <w:pStyle w:val="TableContents"/>
              <w:bidi w:val="0"/>
              <w:spacing w:before="0" w:after="283"/>
              <w:jc w:val="right"/>
              <w:rPr/>
            </w:pPr>
            <w:r>
              <w:rPr/>
              <w:t>(79,373</w:t>
            </w:r>
          </w:p>
        </w:tc>
        <w:tc>
          <w:tcPr>
            <w:tcW w:w="16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(34,875</w:t>
            </w:r>
          </w:p>
        </w:tc>
        <w:tc>
          <w:tcPr>
            <w:tcW w:w="17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provided by operating activities for the year ended December 31, 2025 was a net cash inflow of $331.6 million, an increase of $214.0 million as compared to a net cash inflow of $117.6 million for the year ended December 31, 2024. This increase was primarily driven by an increase in net income of $163.7 million due to higher receipts from customers, adjusted for non-cash items, primarily offset by higher cash outflows of $50.3 million related to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provided by operating activities for the year ended December 31, 2024 was a net cash inflow of $117.6 million, an increase of $67.3 million as compared to a net cash inflow of $50.3 million for the year ended December 31, 2023. This increase was primarily driven by an increase in net income of $129.5 million due to higher receipts from customers, adjusted for non-cash items, primarily offset by higher cash outflows of $62.2 million related to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investing activities for the year ended December 31, 2025 was a net cash outflow of $76.7 million, a decrease of $68.4 million as compared to a net cash outflow of $8.3 million for the year ended December 31, 2024. This decrease was primarily driven by a net increase of $13.1 million in capital expenditures and $55.3 million increase in cash paid for acquisitions.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investing activities for the year ended December 31, 2024 was a net cash outflow of $8.3 million, a decrease of $5.6 million as compared to a net cash outflow of $13.9 million for the year ended December 31, 2023. This decrease was primarily driven by $5.8 million decrease in capital expenditures, a $2.5 million decrease in investments in unconsolidated entities, and an increase of $0.3 million from the proceeds from the sale of property and equipment. Partially offsetting this decrease is a $3.0 million decrease in distributions from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provided by financing activities for the year ended December 31, 2025 was a net cash outflow of $68.0 million, a decrease of $11.4 million as compared to a net cash outflow of $79.4 million for the year ended December 31, 2024. This increase was primarily driven by a $80.7 million increase of distributions to SOLV Energy Parent Holdings LP, a $5.0 million increase in payments for finance leases, a $4.2 million increase in payments for offering costs, a $2.7 million increase in the payments on equipment financing and a $0.5 million decrease in contributions from noncontrolling interests. Partially offsetting this increase was a $34.1 million reduction in the payment for deferred acquisition considerations, a $32.5 million increase in the proceeds on debt, a $14.6 million decrease in the principal payments on debt, a $14.5 million increase in proceeds on equipment financing and a $8.8 million reduction in the payment of financing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cash flow (used in) provided by financing activities for the year ended December 31, 2024 was a net cash outflow of $79.4 million, an increase of $44.5 million as compared to a net cash inflow of $34.9 million for the year ended December 31, 2023. This increase was primarily driven by a $14.6 million increase on the paydown of the principal on debt, a $8.8 million increase in the payment of financing fees, a $0.6 million increase in the payment of financing leases, a $24.8 million decrease in proceeds from equipment financing, a $1.6 million increase in the payments on financed equipment, a $34.1 million increase in payment of deferred acquisition consideration, a decrease of $0.4 million from contributions from non-controlling interests and a $10.5 million distribution to SOLV Energy Parent Holdings LP. Partially offsetting this increase was a $18.2 million net decrease in the repayments to lines of credit, and a $32.8 million reduction in the payment for contingent consideration.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We prepare our consolidated financial statements in accordance with GAAP. There are certain accounting principles that require management to make judgments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Actual results may differ from these estimates and assumptions. To the extent that there are differences between estimates and actual results, our future financial statement presentation, financial condition, results of operations and cash flows may be affected. </w:t>
      </w:r>
    </w:p>
    <w:p>
      <w:pPr>
        <w:pStyle w:val="TextBody"/>
        <w:bidi w:val="0"/>
        <w:spacing w:before="240" w:after="0"/>
        <w:jc w:val="left"/>
        <w:rPr>
          <w:rFonts w:ascii="Times New Roman" w:hAnsi="Times New Roman"/>
          <w:sz w:val="20"/>
        </w:rPr>
      </w:pPr>
      <w:r>
        <w:rPr>
          <w:rFonts w:ascii="Times New Roman" w:hAnsi="Times New Roman"/>
          <w:sz w:val="20"/>
        </w:rPr>
        <w:t xml:space="preserve">Our significant accounting policies are discussed in notes to the consolidated financial statements included elsewhere in this Annual Report;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recognize revenue from contracts with customers when, or as, control of the promised services and goods is transferred to the customers. The amount of revenue recognized reflects the consideration to which we expect to be entitled in exchange for the services and goods transferred. </w:t>
      </w:r>
    </w:p>
    <w:p>
      <w:pPr>
        <w:pStyle w:val="TextBody"/>
        <w:bidi w:val="0"/>
        <w:spacing w:before="240" w:after="0"/>
        <w:jc w:val="left"/>
        <w:rPr>
          <w:rFonts w:ascii="Times New Roman" w:hAnsi="Times New Roman"/>
          <w:sz w:val="20"/>
        </w:rPr>
      </w:pPr>
      <w:r>
        <w:rPr>
          <w:rFonts w:ascii="Times New Roman" w:hAnsi="Times New Roman"/>
          <w:i/>
          <w:sz w:val="20"/>
        </w:rPr>
        <w:t>EPC Service Contracts</w:t>
      </w:r>
      <w:r>
        <w:rPr>
          <w:rFonts w:ascii="Times New Roman" w:hAnsi="Times New Roman"/>
          <w:sz w:val="20"/>
        </w:rPr>
        <w:t xml:space="preserve">. EPC services are generally accounted for as a single performance obligation. We recognize EPC services revenue using the percentage-of-completion method (an input method), based on contract costs incurred to date compared to total estimated contract costs. Estimated contract costs include our latest estimates using judgments with respect to labor hours and costs, materials, subcontractor costs, among other costs. Changes to total estimated costs or losses, if any, are recognized in the period in which they are determined to be assessed at the contract level. </w:t>
      </w:r>
    </w:p>
    <w:p>
      <w:pPr>
        <w:pStyle w:val="TextBody"/>
        <w:bidi w:val="0"/>
        <w:spacing w:before="240" w:after="0"/>
        <w:jc w:val="left"/>
        <w:rPr>
          <w:rFonts w:ascii="Times New Roman" w:hAnsi="Times New Roman"/>
          <w:sz w:val="20"/>
        </w:rPr>
      </w:pPr>
      <w:r>
        <w:rPr>
          <w:rFonts w:ascii="Times New Roman" w:hAnsi="Times New Roman"/>
          <w:i/>
          <w:sz w:val="20"/>
        </w:rPr>
        <w:t>O&amp;M Service Contracts</w:t>
      </w:r>
      <w:r>
        <w:rPr>
          <w:rFonts w:ascii="Times New Roman" w:hAnsi="Times New Roman"/>
          <w:sz w:val="20"/>
        </w:rPr>
        <w:t xml:space="preserve">. O&amp;M service contracts may include multiple performance obligations. We allocate the transaction price to each performance obligation using an estimate of the stand-alone selling price of each distinct service in the contract. For standard O&amp;M service contracts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Development Revenues</w:t>
      </w:r>
      <w:r>
        <w:rPr>
          <w:rFonts w:ascii="Times New Roman" w:hAnsi="Times New Roman"/>
          <w:sz w:val="20"/>
        </w:rPr>
        <w:t xml:space="preserve">. Revenues recognized by us from the sale of development projects are recognized at a point in time when control of the related project transfers to the customer in an amount that reflects the consideration we expect to be entitled to in exchange for the project. </w:t>
      </w:r>
    </w:p>
    <w:p>
      <w:pPr>
        <w:pStyle w:val="TextBody"/>
        <w:bidi w:val="0"/>
        <w:spacing w:before="240" w:after="0"/>
        <w:jc w:val="left"/>
        <w:rPr>
          <w:rFonts w:ascii="Times New Roman" w:hAnsi="Times New Roman"/>
          <w:sz w:val="20"/>
        </w:rPr>
      </w:pPr>
      <w:r>
        <w:rPr>
          <w:rFonts w:ascii="Times New Roman" w:hAnsi="Times New Roman"/>
          <w:i/>
          <w:sz w:val="20"/>
        </w:rPr>
        <w:t>Variable Consideration</w:t>
      </w:r>
      <w:r>
        <w:rPr>
          <w:rFonts w:ascii="Times New Roman" w:hAnsi="Times New Roman"/>
          <w:sz w:val="20"/>
        </w:rPr>
        <w:t xml:space="preserve">. The nature of our contracts gives rise to variable consideration, including change orders, unpriced change orders and liquidated damage penalties. Change orders are generally not distinct performance obligations from the existing contract due to the significant integration service provided in the context of the contract. We recognize revenue for variable consideration when it is probable that a significant reversal in the amount of cumulative revenue recognized will not occur or when the uncertainty associated with the variable consideration is resolved. We estimate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specific discussions or preliminary negotiations with customers. Amounts associated with change orders are recognized as revenue if it is probable that the contract price will be adjusted, and the amount of such adjustment can be reliably estimated. The effect of variable consideration on the transaction price, and our measure of progress for the performance obligation for which it relates, is recognized as an adjustment to revenue on a cumulative catch-up basis.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We have goodwill that has been recorded in connection with our acquisitions of businesses. Goodwill represents the excess of amounts paid over the fair value of net assets acquired. Goodwill is not amortized but instead is tested for impairment at least annually in the fourth quarter of our fiscal year, or more frequently if triggering events occur. Goodwill is required to be tested at the reporting unit level. </w:t>
      </w:r>
    </w:p>
    <w:p>
      <w:pPr>
        <w:pStyle w:val="TextBody"/>
        <w:bidi w:val="0"/>
        <w:spacing w:before="240" w:after="0"/>
        <w:jc w:val="left"/>
        <w:rPr>
          <w:rFonts w:ascii="Times New Roman" w:hAnsi="Times New Roman"/>
          <w:sz w:val="20"/>
        </w:rPr>
      </w:pPr>
      <w:r>
        <w:rPr>
          <w:rFonts w:ascii="Times New Roman" w:hAnsi="Times New Roman"/>
          <w:sz w:val="20"/>
        </w:rPr>
        <w:t xml:space="preserve">We assess goodwill using either a qualitative or quantitative approach to determine whether it is more likely than not that the fair value of a reporting unit is less than its carrying value. The qualitative assessment considers enterprise value, macroeconomic conditions, cost factors and other industry and market conditions. If it is determined, based upon a qualitative assessment, that it is more likely than not that the reporting unit’s fair value is less than its carrying amount, then a quantitative impairment test is performed. The quantitative assessment estimates the fair value of the reporting unit using income and market approaches and compares that amount to the carrying value of that reporting unit. In the event the fair value of the reporting unit is determined to be less than the carrying value, an impairment charge is recognized equal to the excess, limited to the total amount of goodwill allocated to the reporting unit. </w:t>
      </w:r>
    </w:p>
    <w:p>
      <w:pPr>
        <w:pStyle w:val="TextBody"/>
        <w:bidi w:val="0"/>
        <w:spacing w:before="240" w:after="0"/>
        <w:jc w:val="left"/>
        <w:rPr>
          <w:rFonts w:ascii="Times New Roman" w:hAnsi="Times New Roman"/>
          <w:sz w:val="20"/>
        </w:rPr>
      </w:pPr>
      <w:r>
        <w:rPr>
          <w:rFonts w:ascii="Times New Roman" w:hAnsi="Times New Roman"/>
          <w:sz w:val="20"/>
        </w:rPr>
        <w:t xml:space="preserve">Regarding the Company’s historical goodwill impairment assessments for its reporting units, management elected to bypass performing qualitative assessments and proceeded directly to performing quantitative impairment tests. Based on the results of the quantitative assessments, the estimated fair value of each of the Company’s reporting units exceeded its carrying amount, and therefore, no goodwill impairment charge existed for the periods reported. Changes in facts and circumstances, judgments and assumptions used to determine these fair values, including with respect to market conditions and the economy, could result in impairment charges in the future that could be material to our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was historically an entity disregarded as separate from SOLV Energy Parent Holdings LP for U.S. federal income tax purposes. In connection with the Transactions, SOLV Energy Holdings LLC became taxable as a partnership under the appropriate provisions of the Code and will be a continuation of SOLV Energy Parent Holdings LP for U.S. federal income tax purposes. Therefore, federal income taxes are payable by the unit-holders and no provisions are made for federal income taxes with respect to income of SOLV Energy Holdings LLC in the consolidated financial statements. However, although various state and local income taxes are imposed on a “flow- through” basis and are thus payable by the unit-holders, SOLV Energy Holdings LLC has historically been subject to certain state and local income taxes at the entity level. In addition, one or more subsidiaries of SOLV Energy Holdings LLC are corporations for U.S. federal income tax purposes that are subject to U.S. federal, state and local corporate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closing of the IPO, we became subject to U.S. federal, state and local income taxes with respect to our allocable share of any taxable income of SOLV Energy Holdings LLC and are taxed at the prevailing corporate tax rates. In addition to tax expenses, we may incur expenses related to our operations, plus expected payments under the Tax Receivable Agreement, which may be significant. We intend to cause SOLV Energy Holdings LLC to make distributions in an amount sufficient to allow us to pay our tax obligations and operating expenses, including distributions to fund any payments due under the Tax Receivable Agreement. We will account for the income tax effects and corresponding Tax Receivable Agreement’s effects resulting from future taxable exchanges or redemptions of LLC Interests held by Continuing Equity Owners and its permitted transferees by recognizing an increase in deferred tax assets, based on enacted tax rates at the date of the purchase or redemption. </w:t>
      </w:r>
    </w:p>
    <w:p>
      <w:pPr>
        <w:pStyle w:val="TextBody"/>
        <w:bidi w:val="0"/>
        <w:spacing w:before="240" w:after="0"/>
        <w:jc w:val="left"/>
        <w:rPr>
          <w:rFonts w:ascii="Times New Roman" w:hAnsi="Times New Roman"/>
          <w:sz w:val="20"/>
        </w:rPr>
      </w:pPr>
      <w:r>
        <w:rPr>
          <w:rFonts w:ascii="Times New Roman" w:hAnsi="Times New Roman"/>
          <w:sz w:val="20"/>
        </w:rPr>
        <w:t xml:space="preserve">Further, we evaluated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and is expected to be accounted for as a reduction to member’s equity, and the effects of changes in any of our estimates after this date will be included in net income (loss). Similarly, the effect of subsequent changes in the enacted tax rates will be included in net income (loss).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 </w:t>
      </w:r>
    </w:p>
    <w:p>
      <w:pPr>
        <w:pStyle w:val="TextBody"/>
        <w:bidi w:val="0"/>
        <w:spacing w:before="240" w:after="0"/>
        <w:jc w:val="left"/>
        <w:rPr>
          <w:rFonts w:ascii="Times New Roman" w:hAnsi="Times New Roman"/>
          <w:sz w:val="20"/>
        </w:rPr>
      </w:pPr>
      <w:r>
        <w:rPr>
          <w:rFonts w:ascii="Times New Roman" w:hAnsi="Times New Roman"/>
          <w:sz w:val="20"/>
        </w:rPr>
        <w:t xml:space="preserve">Under the provisions of ASC 740, </w:t>
      </w:r>
      <w:r>
        <w:rPr>
          <w:rFonts w:ascii="Times New Roman" w:hAnsi="Times New Roman"/>
          <w:i/>
          <w:sz w:val="20"/>
        </w:rPr>
        <w:t>Income Taxes</w:t>
      </w:r>
      <w:r>
        <w:rPr>
          <w:rFonts w:ascii="Times New Roman" w:hAnsi="Times New Roman"/>
          <w:sz w:val="20"/>
        </w:rPr>
        <w:t xml:space="preserve">,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Unit-Based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unit-based awards consisting of restricted stock unit appreciation (“RUA”) and Restricted Class C Units to certain employees. We recognize compensation expense for equity awards over the requisite service period. The RUA and certain Restricted Class C Units vest following time-based vesting conditions. Other Restricted Class C Units vest following a performance-based or MOIC-based vesting schedules. The performance condition is predicated on the achievement of certain EBITDA targets. Regardless of whether these targets are met, these performance-based awards fully vest on the eighth anniversary of the grant date. The MOIC condition awards vest upon a liquidity event once the multiple of at least 2.5 times can be determined. Because the liquidity event is not considered probable until it actually occurs, no compensation costs related to the MOIC conditioned Restricted Class C Units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RUA is based on cash the amount a holder would receive upon the award’s vesting, which is equal to the fair value of a Class A Unit of SOLV Energy Parent Holdings LP. The fair value of the Class A Units of SOLV Energy Parent Holdings, LP are estimated using generally accepted equity valuation and allocation methods.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date of this Annual Report, all of the RUA awards have vested and will be settled in cash on December 23, 2026, based on the fair market value of the Class A common stock on such date. </w:t>
      </w:r>
    </w:p>
    <w:p>
      <w:pPr>
        <w:pStyle w:val="TextBody"/>
        <w:bidi w:val="0"/>
        <w:spacing w:before="240" w:after="0"/>
        <w:jc w:val="left"/>
        <w:rPr>
          <w:rFonts w:ascii="Times New Roman" w:hAnsi="Times New Roman"/>
          <w:sz w:val="20"/>
        </w:rPr>
      </w:pPr>
      <w:r>
        <w:rPr>
          <w:rFonts w:ascii="Times New Roman" w:hAnsi="Times New Roman"/>
          <w:sz w:val="20"/>
        </w:rPr>
        <w:t xml:space="preserve">We use the Black-Scholes pricing model to estimate the fair value of the Restricted Class C Units granted. The Black-Scholes option pricing model requires the input of highly subjective assumptions including the risk-free interest rate, the expected volatility of the price of our Restricted Class C Units, the expected dividend yield, and the expected time to liquidity. The assumptions used to determine the fair value of the Restricted Class C Units represent our best estimates. These estimates involve inherent uncertainties and the application of management’s judgment. Unit-based compensation expense is based on awards ultimately expected to vest and is reduced for forfeitures as they occur. If factors change and different assumptions are used, our unit-based compensation expense could be materially different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no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See Note 4—</w:t>
      </w:r>
      <w:r>
        <w:rPr>
          <w:rFonts w:ascii="Times New Roman" w:hAnsi="Times New Roman"/>
          <w:i/>
          <w:sz w:val="20"/>
        </w:rPr>
        <w:t>New Accounting Pronouncements</w:t>
      </w:r>
      <w:r>
        <w:rPr>
          <w:rFonts w:ascii="Times New Roman" w:hAnsi="Times New Roman"/>
          <w:sz w:val="20"/>
        </w:rPr>
        <w:t xml:space="preserve"> in “Item 8. Financial Statements and Supplementary Data” for the years ended December 31, 2025, 2024 and 2023 for information regarding new accounting pronouncements.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bookmarkStart w:id="15" w:name="toc31834_11"/>
            <w:bookmarkEnd w:id="15"/>
            <w:r>
              <w:rPr>
                <w:b/>
              </w:rPr>
              <w:t>ITEM 7A.</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ordinary course of business. Market risk represents the risk of loss that may impact our financial position due to adverse changes in financial market prices and rates. Our market risk exposure is primarily a result of exposure to potential changes in interest rates or inflation and the resulting impact on investment income and interest expense. We do not hold financial instruments for trading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are subject to risk from interest rate fluctuations on borrowings under our New Revolving Credit Facility, which carries a variable interest rate. Because our borrowings bear interest at a variable rate, we are exposed to market risks relating to changes in interest rates. We are also exposed to interest rate risk associated with our balances of cash and cash equivalents and short-term investments. We fix a portion of our debt through the use of interest rate derivative contracts to manage the risk of interest rate changes on earnings and cash flows. Based on our variable rate debt outstanding as of December 31, 2025, a 100 basis point increase or decrease in interest rates would change our annual interest expense by approximately $4.1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Inflation can have an impact on our contract costs and our operating costs. A prolonged period of inflation could cause interest rates, fuel, wages and other costs to increase, which would adversely affect our results of operations unless our corresponding contract revenues correspondingly increase. However, 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bookmarkStart w:id="16" w:name="toc31834_12"/>
            <w:bookmarkEnd w:id="16"/>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SUPPLEMENTARY DATA.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4"/>
        <w:gridCol w:w="155"/>
        <w:gridCol w:w="60"/>
        <w:gridCol w:w="383"/>
        <w:gridCol w:w="63"/>
      </w:tblGrid>
      <w:tr>
        <w:trPr/>
        <w:tc>
          <w:tcPr>
            <w:tcW w:w="954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1">
              <w:r>
                <w:rPr>
                  <w:rStyle w:val="InternetLink"/>
                  <w:rFonts w:ascii="Times New Roman" w:hAnsi="Times New Roman"/>
                  <w:b/>
                  <w:i/>
                  <w:sz w:val="20"/>
                </w:rPr>
                <w:t>SOLV Energy, Inc.</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rFonts w:ascii="Times New Roman" w:hAnsi="Times New Roman"/>
                <w:i/>
                <w:sz w:val="20"/>
              </w:rPr>
            </w:pPr>
            <w:r>
              <w:rPr>
                <w:rFonts w:ascii="Times New Roman" w:hAnsi="Times New Roman"/>
                <w:i/>
                <w:sz w:val="20"/>
              </w:rPr>
              <w:t>Financial Statement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3">
              <w:r>
                <w:rPr>
                  <w:rStyle w:val="InternetLink"/>
                  <w:rFonts w:ascii="Times New Roman" w:hAnsi="Times New Roman"/>
                  <w:sz w:val="20"/>
                </w:rPr>
                <w:t>Report of Independent Registered Public Accounting Firm (PCAOB ID No.  42)</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4">
              <w:r>
                <w:rPr>
                  <w:rStyle w:val="InternetLink"/>
                  <w:rFonts w:ascii="Times New Roman" w:hAnsi="Times New Roman"/>
                  <w:sz w:val="20"/>
                </w:rPr>
                <w:t>Balance Sheet as of December 31, 2025</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5">
              <w:r>
                <w:rPr>
                  <w:rStyle w:val="InternetLink"/>
                  <w:rFonts w:ascii="Times New Roman" w:hAnsi="Times New Roman"/>
                  <w:sz w:val="20"/>
                </w:rPr>
                <w:t>Notes to Balance Sheet</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6">
              <w:r>
                <w:rPr>
                  <w:rStyle w:val="InternetLink"/>
                  <w:rFonts w:ascii="Times New Roman" w:hAnsi="Times New Roman"/>
                  <w:b/>
                  <w:i/>
                  <w:sz w:val="20"/>
                </w:rPr>
                <w:t>SOLV Energy Holdings LLC</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rFonts w:ascii="Times New Roman" w:hAnsi="Times New Roman"/>
                <w:i/>
                <w:sz w:val="20"/>
              </w:rPr>
            </w:pPr>
            <w:r>
              <w:rPr>
                <w:rFonts w:ascii="Times New Roman" w:hAnsi="Times New Roman"/>
                <w:i/>
                <w:sz w:val="20"/>
              </w:rPr>
              <w:t>Consolidated Financial Statements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8">
              <w:r>
                <w:rPr>
                  <w:rStyle w:val="InternetLink"/>
                  <w:rFonts w:ascii="Times New Roman" w:hAnsi="Times New Roman"/>
                  <w:sz w:val="20"/>
                </w:rPr>
                <w:t>Report of Independent Registered Public Accounting Firm (PCAOB ID No.  42)</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9">
              <w:r>
                <w:rPr>
                  <w:rStyle w:val="InternetLink"/>
                  <w:rFonts w:ascii="Times New Roman" w:hAnsi="Times New Roman"/>
                  <w:sz w:val="20"/>
                </w:rPr>
                <w:t>Consolidated Balance Sheets as of December 31, 2025 and 2024</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10">
              <w:r>
                <w:rPr>
                  <w:rStyle w:val="InternetLink"/>
                  <w:rFonts w:ascii="Times New Roman" w:hAnsi="Times New Roman"/>
                  <w:sz w:val="20"/>
                </w:rPr>
                <w:t>Consolidated Statements of Operations for the years ended December  31, 2025, 2024 and 2023</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11">
              <w:r>
                <w:rPr>
                  <w:rStyle w:val="InternetLink"/>
                  <w:rFonts w:ascii="Times New Roman" w:hAnsi="Times New Roman"/>
                  <w:sz w:val="20"/>
                </w:rPr>
                <w:t>Consolidated Statements of Member’s Equity for the years ended December 31, 2025, 2024 and 2023</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12">
              <w:r>
                <w:rPr>
                  <w:rStyle w:val="InternetLink"/>
                  <w:rFonts w:ascii="Times New Roman" w:hAnsi="Times New Roman"/>
                  <w:sz w:val="20"/>
                </w:rPr>
                <w:t>Consolidated Statements of Cash Flows for the years ended December  31, 2025, 2024 and 2023</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fin31834_13">
              <w:r>
                <w:rPr>
                  <w:rStyle w:val="InternetLink"/>
                  <w:rFonts w:ascii="Times New Roman" w:hAnsi="Times New Roman"/>
                  <w:sz w:val="20"/>
                </w:rPr>
                <w:t>Notes to Consolidated Financial Statements</w:t>
              </w:r>
            </w:hyperlink>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fin31834_1"/>
      <w:bookmarkEnd w:id="17"/>
      <w:r>
        <w:rPr>
          <w:rFonts w:ascii="Times New Roman" w:hAnsi="Times New Roman"/>
          <w:b/>
          <w:sz w:val="20"/>
        </w:rPr>
        <w:t xml:space="preserve">SOLV Energy, Inc. </w:t>
      </w:r>
    </w:p>
    <w:p>
      <w:pPr>
        <w:pStyle w:val="TextBody"/>
        <w:bidi w:val="0"/>
        <w:spacing w:before="240" w:after="0"/>
        <w:jc w:val="center"/>
        <w:rPr>
          <w:rFonts w:ascii="Times New Roman" w:hAnsi="Times New Roman"/>
          <w:sz w:val="20"/>
        </w:rPr>
      </w:pPr>
      <w:r>
        <w:rPr>
          <w:rFonts w:ascii="Times New Roman" w:hAnsi="Times New Roman"/>
          <w:sz w:val="20"/>
        </w:rPr>
        <w:t xml:space="preserve">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fin31834_3"/>
      <w:bookmarkEnd w:id="18"/>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SOLV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 </w:t>
      </w:r>
    </w:p>
    <w:p>
      <w:pPr>
        <w:pStyle w:val="TextBody"/>
        <w:bidi w:val="0"/>
        <w:spacing w:before="120" w:after="0"/>
        <w:jc w:val="left"/>
        <w:rPr>
          <w:rFonts w:ascii="Times New Roman" w:hAnsi="Times New Roman"/>
          <w:sz w:val="20"/>
        </w:rPr>
      </w:pPr>
      <w:r>
        <w:rPr>
          <w:rFonts w:ascii="Times New Roman" w:hAnsi="Times New Roman"/>
          <w:sz w:val="20"/>
        </w:rPr>
        <w:t>We have audited the accompanying balance sheet of SOLV Energy, Inc. (the “Corporation”) as of December 31, 2025</w:t>
      </w:r>
      <w:r>
        <w:rPr>
          <w:rFonts w:ascii="Times New Roman" w:hAnsi="Times New Roman"/>
          <w:b/>
          <w:sz w:val="20"/>
        </w:rPr>
        <w:t xml:space="preserve">, </w:t>
      </w:r>
      <w:r>
        <w:rPr>
          <w:rFonts w:ascii="Times New Roman" w:hAnsi="Times New Roman"/>
          <w:sz w:val="20"/>
        </w:rPr>
        <w:t xml:space="preserve">and the related notes (collectively referred to as the “financial statement”). In our opinion, the financial statement presents fairly, in all material respects, the financial position of the Corporation at December 31, 2025,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This financial statement is the responsibility of the Corporation’s management. Our responsibility is to express an opinion on the Corporation’s financial statement based on our audit.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the financial statement is free of material misstatement, whether due to error or fraud. The Corporation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Corporation’s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Matters </w:t>
      </w:r>
    </w:p>
    <w:p>
      <w:pPr>
        <w:pStyle w:val="TextBody"/>
        <w:bidi w:val="0"/>
        <w:spacing w:before="120" w:after="0"/>
        <w:jc w:val="left"/>
        <w:rPr>
          <w:rFonts w:ascii="Times New Roman" w:hAnsi="Times New Roman"/>
          <w:sz w:val="20"/>
        </w:rPr>
      </w:pPr>
      <w:r>
        <w:rPr>
          <w:rFonts w:ascii="Times New Roman" w:hAnsi="Times New Roman"/>
          <w:sz w:val="20"/>
        </w:rPr>
        <w:t>Critical audit matters are matters arising from the current period audit of the financial statement that were communicated or required to be communicated to the audit committee and that: (1) relate to accounts or disclosures that are material to the financial statement and (2) involved our especially challenging, subjective, or complex judgments. We determined that there are no critical audit matters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240" w:after="0"/>
        <w:jc w:val="left"/>
        <w:rPr>
          <w:rFonts w:ascii="Times New Roman" w:hAnsi="Times New Roman"/>
          <w:sz w:val="20"/>
        </w:rPr>
      </w:pPr>
      <w:r>
        <w:rPr>
          <w:rFonts w:ascii="Times New Roman" w:hAnsi="Times New Roman"/>
          <w:sz w:val="20"/>
        </w:rPr>
        <w:t xml:space="preserve">Tysons, Virginia </w:t>
      </w:r>
    </w:p>
    <w:p>
      <w:pPr>
        <w:pStyle w:val="TextBody"/>
        <w:bidi w:val="0"/>
        <w:spacing w:before="240" w:after="0"/>
        <w:jc w:val="left"/>
        <w:rPr>
          <w:rFonts w:ascii="Times New Roman" w:hAnsi="Times New Roman"/>
          <w:sz w:val="20"/>
        </w:rPr>
      </w:pPr>
      <w:r>
        <w:rPr>
          <w:rFonts w:ascii="Times New Roman" w:hAnsi="Times New Roman"/>
          <w:sz w:val="20"/>
        </w:rPr>
        <w:t xml:space="preserve">March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bookmarkStart w:id="19" w:name="fin31834_4"/>
      <w:bookmarkEnd w:id="19"/>
      <w:r>
        <w:rPr>
          <w:rFonts w:ascii="Times New Roman" w:hAnsi="Times New Roman"/>
          <w:b/>
          <w:sz w:val="20"/>
        </w:rPr>
        <w:t xml:space="preserve">Balance Sheet </w:t>
      </w:r>
    </w:p>
    <w:p>
      <w:pPr>
        <w:pStyle w:val="TextBody"/>
        <w:bidi w:val="0"/>
        <w:spacing w:before="240" w:after="0"/>
        <w:jc w:val="center"/>
        <w:rPr>
          <w:rFonts w:ascii="Times New Roman" w:hAnsi="Times New Roman"/>
          <w:b/>
          <w:sz w:val="20"/>
        </w:rPr>
      </w:pPr>
      <w:r>
        <w:rPr>
          <w:rFonts w:ascii="Times New Roman" w:hAnsi="Times New Roman"/>
          <w:b/>
          <w:sz w:val="20"/>
        </w:rPr>
        <w:t xml:space="preserve">(in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98"/>
        <w:gridCol w:w="781"/>
        <w:gridCol w:w="526"/>
        <w:gridCol w:w="1438"/>
        <w:gridCol w:w="62"/>
      </w:tblGrid>
      <w:tr>
        <w:trPr/>
        <w:tc>
          <w:tcPr>
            <w:tcW w:w="7398" w:type="dxa"/>
            <w:tcBorders/>
            <w:vAlign w:val="center"/>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398"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2" w:type="dxa"/>
            <w:tcBorders/>
            <w:vAlign w:val="bottom"/>
          </w:tcPr>
          <w:p>
            <w:pPr>
              <w:pStyle w:val="TableContents"/>
              <w:bidi w:val="0"/>
              <w:spacing w:before="0" w:after="283"/>
              <w:jc w:val="left"/>
              <w:rPr/>
            </w:pPr>
            <w:r>
              <w:rPr/>
              <w:t> </w:t>
            </w:r>
          </w:p>
        </w:tc>
      </w:tr>
      <w:tr>
        <w:trPr/>
        <w:tc>
          <w:tcPr>
            <w:tcW w:w="73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781"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sz w:val="4"/>
                <w:szCs w:val="4"/>
              </w:rPr>
            </w:pPr>
            <w:r>
              <w:rPr>
                <w:sz w:val="4"/>
                <w:szCs w:val="4"/>
              </w:rPr>
            </w:r>
          </w:p>
        </w:tc>
        <w:tc>
          <w:tcPr>
            <w:tcW w:w="143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39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781"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w:t>
            </w:r>
          </w:p>
        </w:tc>
        <w:tc>
          <w:tcPr>
            <w:tcW w:w="1438"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7398"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3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781"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b/>
              </w:rPr>
            </w:pPr>
            <w:r>
              <w:rPr>
                <w:b/>
              </w:rPr>
              <w:t>$</w:t>
            </w:r>
          </w:p>
        </w:tc>
        <w:tc>
          <w:tcPr>
            <w:tcW w:w="1438" w:type="dxa"/>
            <w:tcBorders/>
            <w:shd w:fill="CCEEFF" w:val="clear"/>
            <w:vAlign w:val="bottom"/>
          </w:tcPr>
          <w:p>
            <w:pPr>
              <w:pStyle w:val="TableContents"/>
              <w:bidi w:val="0"/>
              <w:spacing w:before="0" w:after="283"/>
              <w:jc w:val="right"/>
              <w:rPr>
                <w:b/>
              </w:rPr>
            </w:pPr>
            <w:r>
              <w:rPr>
                <w:b/>
              </w:rPr>
              <w:t>100</w:t>
            </w:r>
          </w:p>
        </w:tc>
        <w:tc>
          <w:tcPr>
            <w:tcW w:w="62" w:type="dxa"/>
            <w:tcBorders/>
            <w:shd w:fill="CCEEFF" w:val="clear"/>
            <w:vAlign w:val="bottom"/>
          </w:tcPr>
          <w:p>
            <w:pPr>
              <w:pStyle w:val="TableContents"/>
              <w:bidi w:val="0"/>
              <w:spacing w:before="0" w:after="283"/>
              <w:jc w:val="left"/>
              <w:rPr/>
            </w:pPr>
            <w:r>
              <w:rPr/>
              <w:t> </w:t>
            </w:r>
          </w:p>
        </w:tc>
      </w:tr>
      <w:tr>
        <w:trPr/>
        <w:tc>
          <w:tcPr>
            <w:tcW w:w="7398"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398"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781"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sz w:val="4"/>
                <w:szCs w:val="4"/>
              </w:rPr>
            </w:pPr>
            <w:r>
              <w:rPr>
                <w:sz w:val="4"/>
                <w:szCs w:val="4"/>
              </w:rPr>
            </w:r>
          </w:p>
        </w:tc>
        <w:tc>
          <w:tcPr>
            <w:tcW w:w="143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7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$1.00 per share, 100 shares authorized, issued and outstanding</w:t>
            </w:r>
          </w:p>
        </w:tc>
        <w:tc>
          <w:tcPr>
            <w:tcW w:w="781"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100</w:t>
            </w:r>
          </w:p>
        </w:tc>
        <w:tc>
          <w:tcPr>
            <w:tcW w:w="62" w:type="dxa"/>
            <w:tcBorders/>
            <w:shd w:fill="CCEEFF" w:val="clear"/>
            <w:vAlign w:val="bottom"/>
          </w:tcPr>
          <w:p>
            <w:pPr>
              <w:pStyle w:val="TableContents"/>
              <w:bidi w:val="0"/>
              <w:spacing w:before="0" w:after="283"/>
              <w:jc w:val="left"/>
              <w:rPr/>
            </w:pPr>
            <w:r>
              <w:rPr/>
              <w:t> </w:t>
            </w:r>
          </w:p>
        </w:tc>
      </w:tr>
      <w:tr>
        <w:trPr/>
        <w:tc>
          <w:tcPr>
            <w:tcW w:w="7398"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39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781"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b/>
              </w:rPr>
            </w:pPr>
            <w:r>
              <w:rPr>
                <w:b/>
              </w:rPr>
              <w:t>$</w:t>
            </w:r>
          </w:p>
        </w:tc>
        <w:tc>
          <w:tcPr>
            <w:tcW w:w="1438" w:type="dxa"/>
            <w:tcBorders/>
            <w:vAlign w:val="bottom"/>
          </w:tcPr>
          <w:p>
            <w:pPr>
              <w:pStyle w:val="TableContents"/>
              <w:bidi w:val="0"/>
              <w:spacing w:before="0" w:after="283"/>
              <w:jc w:val="right"/>
              <w:rPr>
                <w:b/>
              </w:rPr>
            </w:pPr>
            <w:r>
              <w:rPr>
                <w:b/>
              </w:rPr>
              <w:t>100</w:t>
            </w:r>
          </w:p>
        </w:tc>
        <w:tc>
          <w:tcPr>
            <w:tcW w:w="62" w:type="dxa"/>
            <w:tcBorders/>
            <w:vAlign w:val="bottom"/>
          </w:tcPr>
          <w:p>
            <w:pPr>
              <w:pStyle w:val="TableContents"/>
              <w:bidi w:val="0"/>
              <w:spacing w:before="0" w:after="283"/>
              <w:jc w:val="left"/>
              <w:rPr/>
            </w:pPr>
            <w:r>
              <w:rPr/>
              <w:t> </w:t>
            </w:r>
          </w:p>
        </w:tc>
      </w:tr>
      <w:tr>
        <w:trPr/>
        <w:tc>
          <w:tcPr>
            <w:tcW w:w="7398"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this financial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bookmarkStart w:id="20" w:name="fin31834_5"/>
      <w:bookmarkEnd w:id="20"/>
      <w:r>
        <w:rPr>
          <w:rFonts w:ascii="Times New Roman" w:hAnsi="Times New Roman"/>
          <w:b/>
          <w:sz w:val="20"/>
        </w:rPr>
        <w:t xml:space="preserve">Balance Sheet </w:t>
      </w:r>
    </w:p>
    <w:p>
      <w:pPr>
        <w:pStyle w:val="TextBody"/>
        <w:bidi w:val="0"/>
        <w:spacing w:before="240" w:after="0"/>
        <w:jc w:val="center"/>
        <w:rPr>
          <w:rFonts w:ascii="Times New Roman" w:hAnsi="Times New Roman"/>
          <w:b/>
          <w:sz w:val="20"/>
        </w:rPr>
      </w:pPr>
      <w:r>
        <w:rPr>
          <w:rFonts w:ascii="Times New Roman" w:hAnsi="Times New Roman"/>
          <w:b/>
          <w:sz w:val="20"/>
        </w:rPr>
        <w:t xml:space="preserve">(in dollars)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(the “Corporation”) was organized as a Delaware corporation on April 1, 2025, and its shares were funded on June 6, 2025. The Corporation’s fiscal year end is December 31. </w:t>
      </w:r>
    </w:p>
    <w:p>
      <w:pPr>
        <w:pStyle w:val="TextBody"/>
        <w:bidi w:val="0"/>
        <w:spacing w:before="240" w:after="0"/>
        <w:jc w:val="left"/>
        <w:rPr>
          <w:rFonts w:ascii="Times New Roman" w:hAnsi="Times New Roman"/>
          <w:sz w:val="20"/>
        </w:rPr>
      </w:pPr>
      <w:r>
        <w:rPr>
          <w:rFonts w:ascii="Times New Roman" w:hAnsi="Times New Roman"/>
          <w:sz w:val="20"/>
        </w:rPr>
        <w:t>The Corporation successfully completed an initial public offering (“IPO”) of 23,575,000 shares of its Class A common stock for net proceeds of approximately $552.5 million on February 12, 2026. In connection with the IPO, a wholly-owned subsidiary of the Corporation became the managing member of SOLV Energy Holdings LLC, and the Corporation, through the managing member, operates and controls all of the businesses and affairs of SOLV Energy Holdings LLC and, through SOLV Energy Holdings LLC and its subsidiaries, continue to conduct the business now conducted by these entities. See Note 4—</w:t>
      </w:r>
      <w:r>
        <w:rPr>
          <w:rFonts w:ascii="Times New Roman" w:hAnsi="Times New Roman"/>
          <w:i/>
          <w:sz w:val="20"/>
        </w:rPr>
        <w:t>Subsequent Events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balance sheet has been prepared in accordance with U.S. GAAP. Separate statements of operations, changes in stockholder’s equity and cash flows have not been presented because there have been no activities in this entity or because the single transaction is disclosed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(3) Stockholder’s Equity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is authorized to issue 100 shares of common stock, par value $1.00 per share. The Corporation has issued 100 shares of common stock, which is held by SOLV Energy Parent Holdings LP, on June 6, 2025, in exchange for a capital contribution in accordance with the Stock Subscription Agreement executed by SOLV Energy Parent Holdings LP. As of December 31, 2025, no other share transactions have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has evaluated subsequent events through the date which the financial statement was issued, and did not identify any additional matters that require disclosure except for the following: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Public Offering and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2026, SOLV Energy, Inc. successfully completed an initial public offering of 23,575,000 shares of its Class A common stock for net proceeds of approximately $552.5 million after deducting the underwriting discounts and commissions.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IPO, SOLV Energy Holdings LLC amended and restated its limited liability company agreement to, among other things, (i) recapitalize all existing ownership interests in SOLV Energy Holdings LLC into a single class of common units (“LLC Interests”) and (ii) appoint a wholly-owned subsidiary of SOLV Energy, Inc. as the sole managing member of SOLV Energy Holdings LLC upon or prior to the acquisition of LLC Interests by SOLV Energy, Inc. in connection with the IPO.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IPO, SOLV Energy Inc. amended and restated its certificate of incorporation to, among other things, provide (i) for 1,250,000,000 authorized shares of Class A common stock at a par value of $0.0001 per share, with each share of its Class A common stock entitling its holder to one vote per share on all matters presented to our stockholders generally and (ii) for 100,000,000 authorized shares of Class B common stock at a par value of $0.0001 per share,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a result, SOLV Energy Inc. became a holding company and the sole manager of SOLV Energy Holdings LLC, through its wholly owned subsidiary, with no material assets other than the ownership of the voting membership interest in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IPO, SOLV Energy Parent Holdings LP was liquidated by distributing LLC Interests and nominal cash to the Continuing Equity Owners. SOLV Energy, Inc. acquired the LLC Interests held by certain Continuing Equity Owners in exchange for 91,773,571 shares of its Class A common stock. After giving effect to the use of proceeds from the IPO, SOLV Energy, Inc. issued 87,141,865 shares of Class B common stock to the Continuing Equity Owners, which is equal to the number of LLC Interests held by such Continuing Equity Owners, for nominal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IPO, SOLV Energy, Inc. used the net proceeds from the IPO to purchase 23,575,000 newly issued LLC Interests directly and/or indirectly from SOLV Energy Holdings LLC for approximately $552.5 million at a price per unit equal to the IPO price per share of Class A common stock less the underwriting discounts and commissions.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the Corporation entered into a Tax Receivable Agreement (the “TRA”) with the Continuing Equity Owners and the Blocker Shareholders (collectively, the “TRA Participants”), pursuant to which the Corporation is obligated to pay the TRA Participants 85% of certain tax benefits, if any, that the Corporation realizes (or, in some circumstances, is deemed to realize) as a result of certain tax basis adjustments and other tax attributes related to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the Corporation adopted the SOLV Energy, Inc. 2026 Equity Incentive Plan (the “2026 Plan”), which became effective immediately prior to the effectiveness of the Corporation’s registration statement on Form S-1, subject to stockholder approval. The 2026 Plan provides for the issuance of up to 7,500,000 shares of Class A common stock for equity-based awards, as adjusted in accordance with the terms of the plan, and includes an annual automatic increase in the share reserve equal to 3% of the total number of shares of Class A common stock outstanding as of the end of the immediately preceding fiscal year, beginning on January 1 following the IPO and continuing through the ninth anniversary of the effective date of the 2026 Plan, unless the Corporation’s board of directors determines a lesser increase for any such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2026 Plan permits the grant of stock options, stock appreciation rights, restricted stock, restricted stock units and other stock-based awards to eligible employees, officers, non-employee directors and other service providers of the Corporation and its subsidiaries, including Holdings. The 2026 Plan is administered by the Corporation’s board of directors or a committee thereof and provides for customary limitations, including an annual compensation limit applicable to non-employee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Extinguishment of Existing Term Loan Facilities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IPO and the application of the net proceeds therefrom, the Corporation caused SOLV Energy Holdings LLC to repay in full approximately $401.1 million of outstanding indebtedness under its existing term loan facilities.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closing of the IPO, SOLV Energy Acquisition LLC, a subsidiary of SOLV Energy Holdings LLC, entered into a new revolving credit facility with various lenders providing for revolving borrowings in an aggregate principal amount of $200.0 million. The new revolving credit facility has a five-year term ended February 12, 2031. The obligations under the revolving credit facility are secured by substantially all of the assets of SOLV Energy Holdings LLC and its subsidiaries and are guaranteed by certain subsidiaries of SOLV Energy Holdings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the Corporation entered into a Registration Rights Agreement (the “Registration Rights Agreement”) with certain of the Continuing Equity Owners. The Registration Rights Agreement provides certain of the Continuing Equity Owners and the Blocker Shareholders with “demand” registration rights whereby, at any time after 180 days following the IPO and the expiration of any related lock-up period, such Continuing Equity Owners and Blocker Shareholders, as applicable, can require the Corporation to register under the Securities Act the offer and sale of shares of Class A common stock issuable to them, at the Corporation’s election upon redemption or exchange of their LLC Interests. The Registration Rights Agreement will also provide for customary “piggyback” registration rights for all parties to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fin31834_6"/>
      <w:bookmarkEnd w:id="21"/>
      <w:r>
        <w:rPr>
          <w:rFonts w:ascii="Times New Roman" w:hAnsi="Times New Roman"/>
          <w:b/>
          <w:sz w:val="20"/>
        </w:rPr>
        <w:t xml:space="preserve">SOLV Energy Holdings LLC </w:t>
      </w:r>
    </w:p>
    <w:p>
      <w:pPr>
        <w:pStyle w:val="TextBody"/>
        <w:bidi w:val="0"/>
        <w:spacing w:before="240" w:after="0"/>
        <w:jc w:val="center"/>
        <w:rPr>
          <w:rFonts w:ascii="Times New Roman" w:hAnsi="Times New Roman"/>
          <w:sz w:val="20"/>
        </w:rPr>
      </w:pPr>
      <w:r>
        <w:rPr>
          <w:rFonts w:ascii="Times New Roman" w:hAnsi="Times New Roman"/>
          <w:sz w:val="20"/>
        </w:rPr>
        <w:t xml:space="preserve">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fin31834_8"/>
      <w:bookmarkEnd w:id="22"/>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Unit Holder and the Board of Directors of SOLV Energy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SOLV Energy Holdings LLC (the Company) as of December 31, 2025 and 2024, the related consolidated statements of operations, member’s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3"/>
        <w:gridCol w:w="125"/>
        <w:gridCol w:w="8677"/>
      </w:tblGrid>
      <w:tr>
        <w:trPr/>
        <w:tc>
          <w:tcPr>
            <w:tcW w:w="140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67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Revenue Recognition - Percentage of Completion Accounting</w:t>
            </w:r>
          </w:p>
        </w:tc>
      </w:tr>
      <w:tr>
        <w:trPr>
          <w:trHeight w:val="240" w:hRule="atLeast"/>
        </w:trPr>
        <w:tc>
          <w:tcPr>
            <w:tcW w:w="1403" w:type="dxa"/>
            <w:tcBorders/>
            <w:vAlign w:val="center"/>
          </w:tcPr>
          <w:p>
            <w:pPr>
              <w:pStyle w:val="TableContents"/>
              <w:bidi w:val="0"/>
              <w:spacing w:before="0" w:after="283"/>
              <w:jc w:val="left"/>
              <w:rPr>
                <w:sz w:val="4"/>
                <w:szCs w:val="4"/>
              </w:rPr>
            </w:pPr>
            <w:r>
              <w:rPr>
                <w:sz w:val="4"/>
                <w:szCs w:val="4"/>
              </w:rPr>
            </w:r>
          </w:p>
        </w:tc>
        <w:tc>
          <w:tcPr>
            <w:tcW w:w="8802" w:type="dxa"/>
            <w:gridSpan w:val="2"/>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i/>
              </w:rPr>
            </w:pPr>
            <w:r>
              <w:rPr>
                <w:i/>
              </w:rPr>
              <w:t>Description of the Matter</w:t>
            </w:r>
          </w:p>
        </w:tc>
        <w:tc>
          <w:tcPr>
            <w:tcW w:w="125" w:type="dxa"/>
            <w:tcBorders/>
            <w:vAlign w:val="bottom"/>
          </w:tcPr>
          <w:p>
            <w:pPr>
              <w:pStyle w:val="TableContents"/>
              <w:bidi w:val="0"/>
              <w:spacing w:before="0" w:after="283"/>
              <w:jc w:val="left"/>
              <w:rPr/>
            </w:pPr>
            <w:r>
              <w:rPr/>
              <w:t>  </w:t>
            </w:r>
          </w:p>
        </w:tc>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 the year ended December 31, 2025, total revenue recognized was $2.5 billion. As explained in Note 5 to the consolidated financial statements, substantially all of revenue is recognized over time using the percentage-of-completion method (an input method) in which progress is measured based on the ratio of costs incurred to date to the total estimated costs at completion. The determination of revenue recognized on contracts requires estimates of total contract costs expected to be incurred to complete the Company’s contracts with its customers. Estimates to complete are based on the Company’s estimate of total expected costs, including among others, for labor, materials, and subcontractor expenditures.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the Company’s estimates to complete used in its revenue recognition process was complex due to the judgement involved in evaluating the significant estimates and assumptions made by management. Further, the identified material weaknesses relating to the Company’s accounting for percentage-of-completion revenue recognition and IT general controls affected the nature and extent of our audit procedures.</w:t>
            </w:r>
          </w:p>
        </w:tc>
      </w:tr>
      <w:tr>
        <w:trPr>
          <w:trHeight w:val="240" w:hRule="atLeast"/>
        </w:trPr>
        <w:tc>
          <w:tcPr>
            <w:tcW w:w="1403" w:type="dxa"/>
            <w:tcBorders/>
            <w:vAlign w:val="center"/>
          </w:tcPr>
          <w:p>
            <w:pPr>
              <w:pStyle w:val="TableContents"/>
              <w:bidi w:val="0"/>
              <w:spacing w:before="0" w:after="283"/>
              <w:jc w:val="left"/>
              <w:rPr>
                <w:sz w:val="4"/>
                <w:szCs w:val="4"/>
              </w:rPr>
            </w:pPr>
            <w:r>
              <w:rPr>
                <w:sz w:val="4"/>
                <w:szCs w:val="4"/>
              </w:rPr>
            </w:r>
          </w:p>
        </w:tc>
        <w:tc>
          <w:tcPr>
            <w:tcW w:w="8802" w:type="dxa"/>
            <w:gridSpan w:val="2"/>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i/>
              </w:rPr>
            </w:pPr>
            <w:r>
              <w:rPr>
                <w:i/>
              </w:rPr>
              <w:t>How We Addressed the Matter in Our Audit</w:t>
            </w:r>
          </w:p>
        </w:tc>
        <w:tc>
          <w:tcPr>
            <w:tcW w:w="125" w:type="dxa"/>
            <w:tcBorders/>
            <w:vAlign w:val="bottom"/>
          </w:tcPr>
          <w:p>
            <w:pPr>
              <w:pStyle w:val="TableContents"/>
              <w:bidi w:val="0"/>
              <w:spacing w:before="0" w:after="283"/>
              <w:jc w:val="left"/>
              <w:rPr/>
            </w:pPr>
            <w:r>
              <w:rPr/>
              <w:t>  </w:t>
            </w:r>
          </w:p>
        </w:tc>
        <w:tc>
          <w:tcPr>
            <w:tcW w:w="8677" w:type="dxa"/>
            <w:tcBorders/>
            <w:vAlign w:val="bottom"/>
          </w:tcPr>
          <w:p>
            <w:pPr>
              <w:pStyle w:val="TableContents"/>
              <w:bidi w:val="0"/>
              <w:spacing w:before="0" w:after="283"/>
              <w:jc w:val="left"/>
              <w:rPr/>
            </w:pPr>
            <w:r>
              <w:rPr/>
              <w:t>To test the Company’s estimates to complete, our audit procedures included, among others, evaluating management’s cost estimates for a sample of contracts. We also compared estimates of labor, materials and subcontractor costs to historical results of similar contracts to determine reasonableness of cost composition assumptions and inspected contractual evidence, such as purchase orders and supply contracts to corroborate completeness of estimates to complete. We evaluated contract activity during the period subsequent to fiscal year end, but before the financial statements were issued to evaluate the reasonableness of the Company’s estimates. We evaluated the appropriateness of changes to cost estimates and their impact on revenue, based on management’s determination that a change in estimate was necessary. We recalculated revenue recognized during the year based on the Company’s measurement of its estimate to complete assumptions.</w:t>
            </w:r>
          </w:p>
        </w:tc>
      </w:tr>
    </w:tbl>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240" w:after="0"/>
        <w:jc w:val="left"/>
        <w:rPr>
          <w:rFonts w:ascii="Times New Roman" w:hAnsi="Times New Roman"/>
          <w:sz w:val="20"/>
        </w:rPr>
      </w:pPr>
      <w:r>
        <w:rPr>
          <w:rFonts w:ascii="Times New Roman" w:hAnsi="Times New Roman"/>
          <w:sz w:val="20"/>
        </w:rPr>
        <w:t xml:space="preserve">Tysons, Virginia </w:t>
      </w:r>
    </w:p>
    <w:p>
      <w:pPr>
        <w:pStyle w:val="TextBody"/>
        <w:bidi w:val="0"/>
        <w:spacing w:before="240" w:after="0"/>
        <w:jc w:val="left"/>
        <w:rPr>
          <w:rFonts w:ascii="Times New Roman" w:hAnsi="Times New Roman"/>
          <w:sz w:val="20"/>
        </w:rPr>
      </w:pPr>
      <w:r>
        <w:rPr>
          <w:rFonts w:ascii="Times New Roman" w:hAnsi="Times New Roman"/>
          <w:sz w:val="20"/>
        </w:rPr>
        <w:t xml:space="preserve">March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23" w:name="fin31834_9"/>
      <w:bookmarkEnd w:id="23"/>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2"/>
        <w:gridCol w:w="143"/>
        <w:gridCol w:w="140"/>
        <w:gridCol w:w="997"/>
        <w:gridCol w:w="155"/>
        <w:gridCol w:w="112"/>
        <w:gridCol w:w="140"/>
        <w:gridCol w:w="997"/>
        <w:gridCol w:w="159"/>
      </w:tblGrid>
      <w:tr>
        <w:trPr/>
        <w:tc>
          <w:tcPr>
            <w:tcW w:w="7362"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6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394,876</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207,987</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269,044</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277,962</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156,744</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50,200</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17,734</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25,204</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60,887</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26,953</w:t>
            </w:r>
          </w:p>
        </w:tc>
        <w:tc>
          <w:tcPr>
            <w:tcW w:w="159" w:type="dxa"/>
            <w:tcBorders/>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899,285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588,306</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106,383</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67,635</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8,010</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8,014</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429,279</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410,006</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362,390</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398,578</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10,925</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5,492</w:t>
            </w:r>
          </w:p>
        </w:tc>
        <w:tc>
          <w:tcPr>
            <w:tcW w:w="159" w:type="dxa"/>
            <w:tcBorders/>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b/>
              </w:rPr>
            </w:pPr>
            <w:r>
              <w:rPr>
                <w:b/>
              </w:rPr>
              <w:t>1,816,272</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b/>
              </w:rPr>
            </w:pPr>
            <w:r>
              <w:rPr>
                <w:b/>
              </w:rPr>
              <w:t>1,478,031</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MEMBER’S EQUITY</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562,218</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401,883</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308,619</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241,000</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4,739</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6,526</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3,767</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12,978</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9,559</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2,498</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2,479</w:t>
            </w:r>
          </w:p>
        </w:tc>
        <w:tc>
          <w:tcPr>
            <w:tcW w:w="159" w:type="dxa"/>
            <w:tcBorders/>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892,839</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663,427</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391,988</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362,832</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21,317</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15,777</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36,559</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28,014</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18,344</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14,534</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1,361,047</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1,084,584</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 See Note 13</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3,030</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2,510</w:t>
            </w:r>
          </w:p>
        </w:tc>
        <w:tc>
          <w:tcPr>
            <w:tcW w:w="159" w:type="dxa"/>
            <w:tcBorders/>
            <w:vAlign w:val="bottom"/>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(98,139</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(247,322</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550,334</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638,259</w:t>
            </w:r>
          </w:p>
        </w:tc>
        <w:tc>
          <w:tcPr>
            <w:tcW w:w="159" w:type="dxa"/>
            <w:tcBorders/>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455,225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393,447</w:t>
            </w:r>
          </w:p>
        </w:tc>
        <w:tc>
          <w:tcPr>
            <w:tcW w:w="159" w:type="dxa"/>
            <w:tcBorders/>
            <w:shd w:fill="CCEEFF" w:val="clear"/>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b/>
              </w:rPr>
            </w:pPr>
            <w:r>
              <w:rPr>
                <w:b/>
              </w:rPr>
              <w:t>1,816,272</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b/>
              </w:rPr>
            </w:pPr>
            <w:r>
              <w:rPr>
                <w:b/>
              </w:rPr>
              <w:t>1,478,031</w:t>
            </w:r>
          </w:p>
        </w:tc>
        <w:tc>
          <w:tcPr>
            <w:tcW w:w="159" w:type="dxa"/>
            <w:tcBorders/>
            <w:vAlign w:val="bottom"/>
          </w:tcPr>
          <w:p>
            <w:pPr>
              <w:pStyle w:val="TableContents"/>
              <w:bidi w:val="0"/>
              <w:spacing w:before="0" w:after="283"/>
              <w:jc w:val="left"/>
              <w:rPr/>
            </w:pPr>
            <w:r>
              <w:rPr/>
              <w:t> </w:t>
            </w:r>
          </w:p>
        </w:tc>
      </w:tr>
      <w:tr>
        <w:trPr/>
        <w:tc>
          <w:tcPr>
            <w:tcW w:w="736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24" w:name="fin31834_10"/>
      <w:bookmarkEnd w:id="24"/>
      <w:r>
        <w:rPr>
          <w:rFonts w:ascii="Times New Roman" w:hAnsi="Times New Roman"/>
          <w:b/>
          <w:sz w:val="20"/>
        </w:rPr>
        <w:t xml:space="preserve">Consolidated Statements of Operations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2"/>
        <w:gridCol w:w="140"/>
        <w:gridCol w:w="140"/>
        <w:gridCol w:w="991"/>
        <w:gridCol w:w="155"/>
        <w:gridCol w:w="105"/>
        <w:gridCol w:w="140"/>
        <w:gridCol w:w="991"/>
        <w:gridCol w:w="155"/>
        <w:gridCol w:w="105"/>
        <w:gridCol w:w="140"/>
        <w:gridCol w:w="991"/>
        <w:gridCol w:w="160"/>
      </w:tblGrid>
      <w:tr>
        <w:trPr/>
        <w:tc>
          <w:tcPr>
            <w:tcW w:w="599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1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59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2,490,496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2,100,643</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2,026,263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1,588,639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1,990,648</w:t>
            </w:r>
          </w:p>
        </w:tc>
        <w:tc>
          <w:tcPr>
            <w:tcW w:w="160" w:type="dxa"/>
            <w:tcBorders/>
            <w:vAlign w:val="bottom"/>
          </w:tcPr>
          <w:p>
            <w:pPr>
              <w:pStyle w:val="TableContents"/>
              <w:bidi w:val="0"/>
              <w:spacing w:before="0" w:after="283"/>
              <w:jc w:val="left"/>
              <w:rPr/>
            </w:pPr>
            <w:r>
              <w:rPr/>
              <w:t> </w:t>
            </w:r>
          </w:p>
        </w:tc>
      </w:tr>
      <w:tr>
        <w:trPr/>
        <w:tc>
          <w:tcPr>
            <w:tcW w:w="599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464,233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259,164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109,995</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211,041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127,885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95,836</w:t>
            </w:r>
          </w:p>
        </w:tc>
        <w:tc>
          <w:tcPr>
            <w:tcW w:w="160" w:type="dxa"/>
            <w:tcBorders/>
            <w:vAlign w:val="bottom"/>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57,748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66,347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67,048</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268,789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194,232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162,884</w:t>
            </w:r>
          </w:p>
        </w:tc>
        <w:tc>
          <w:tcPr>
            <w:tcW w:w="160" w:type="dxa"/>
            <w:tcBorders/>
            <w:vAlign w:val="bottom"/>
          </w:tcPr>
          <w:p>
            <w:pPr>
              <w:pStyle w:val="TableContents"/>
              <w:bidi w:val="0"/>
              <w:spacing w:before="0" w:after="283"/>
              <w:jc w:val="left"/>
              <w:rPr/>
            </w:pPr>
            <w:r>
              <w:rPr/>
              <w:t> </w:t>
            </w:r>
          </w:p>
        </w:tc>
      </w:tr>
      <w:tr>
        <w:trPr/>
        <w:tc>
          <w:tcPr>
            <w:tcW w:w="599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195,444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(52,889</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52,730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55,394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59,702</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(7,156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(1,634</w:t>
            </w:r>
          </w:p>
        </w:tc>
        <w:tc>
          <w:tcPr>
            <w:tcW w:w="160" w:type="dxa"/>
            <w:tcBorders/>
            <w:vAlign w:val="bottom"/>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(3,476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(1,318</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153,346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10,522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(109,639</w:t>
            </w:r>
          </w:p>
        </w:tc>
        <w:tc>
          <w:tcPr>
            <w:tcW w:w="160" w:type="dxa"/>
            <w:tcBorders/>
            <w:vAlign w:val="bottom"/>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3,643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204</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149,703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(109,843</w:t>
            </w:r>
          </w:p>
        </w:tc>
        <w:tc>
          <w:tcPr>
            <w:tcW w:w="160" w:type="dxa"/>
            <w:tcBorders/>
            <w:vAlign w:val="bottom"/>
          </w:tcPr>
          <w:p>
            <w:pPr>
              <w:pStyle w:val="TableContents"/>
              <w:bidi w:val="0"/>
              <w:spacing w:before="0" w:after="283"/>
              <w:jc w:val="left"/>
              <w:rPr/>
            </w:pPr>
            <w:r>
              <w:rPr/>
              <w:t>) </w:t>
            </w:r>
          </w:p>
        </w:tc>
      </w:tr>
      <w:tr>
        <w:trPr/>
        <w:tc>
          <w:tcPr>
            <w:tcW w:w="5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520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599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99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1" w:type="dxa"/>
            <w:tcBorders/>
            <w:vAlign w:val="bottom"/>
          </w:tcPr>
          <w:p>
            <w:pPr>
              <w:pStyle w:val="TableContents"/>
              <w:bidi w:val="0"/>
              <w:spacing w:before="0" w:after="283"/>
              <w:jc w:val="right"/>
              <w:rPr>
                <w:b/>
              </w:rPr>
            </w:pPr>
            <w:r>
              <w:rPr>
                <w:b/>
              </w:rPr>
              <w:t>149,183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1" w:type="dxa"/>
            <w:tcBorders/>
            <w:vAlign w:val="bottom"/>
          </w:tcPr>
          <w:p>
            <w:pPr>
              <w:pStyle w:val="TableContents"/>
              <w:bidi w:val="0"/>
              <w:spacing w:before="0" w:after="283"/>
              <w:jc w:val="right"/>
              <w:rPr>
                <w:b/>
              </w:rPr>
            </w:pPr>
            <w:r>
              <w:rPr>
                <w:b/>
              </w:rPr>
              <w:t>9,922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1" w:type="dxa"/>
            <w:tcBorders/>
            <w:vAlign w:val="bottom"/>
          </w:tcPr>
          <w:p>
            <w:pPr>
              <w:pStyle w:val="TableContents"/>
              <w:bidi w:val="0"/>
              <w:spacing w:before="0" w:after="283"/>
              <w:jc w:val="right"/>
              <w:rPr>
                <w:b/>
              </w:rPr>
            </w:pPr>
            <w:r>
              <w:rPr>
                <w:b/>
              </w:rPr>
              <w:t>(109,844</w:t>
            </w:r>
          </w:p>
        </w:tc>
        <w:tc>
          <w:tcPr>
            <w:tcW w:w="160" w:type="dxa"/>
            <w:tcBorders/>
            <w:vAlign w:val="bottom"/>
          </w:tcPr>
          <w:p>
            <w:pPr>
              <w:pStyle w:val="TableContents"/>
              <w:bidi w:val="0"/>
              <w:spacing w:before="0" w:after="283"/>
              <w:jc w:val="left"/>
              <w:rPr>
                <w:b/>
              </w:rPr>
            </w:pPr>
            <w:r>
              <w:rPr>
                <w:b/>
              </w:rPr>
              <w:t>) </w:t>
            </w:r>
          </w:p>
        </w:tc>
      </w:tr>
      <w:tr>
        <w:trPr/>
        <w:tc>
          <w:tcPr>
            <w:tcW w:w="599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25" w:name="fin31834_11"/>
      <w:bookmarkEnd w:id="25"/>
      <w:r>
        <w:rPr>
          <w:rFonts w:ascii="Times New Roman" w:hAnsi="Times New Roman"/>
          <w:b/>
          <w:sz w:val="20"/>
        </w:rPr>
        <w:t xml:space="preserve">Consolidated Statements of Member’s Equity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4"/>
        <w:gridCol w:w="218"/>
        <w:gridCol w:w="238"/>
        <w:gridCol w:w="954"/>
        <w:gridCol w:w="60"/>
        <w:gridCol w:w="218"/>
        <w:gridCol w:w="188"/>
        <w:gridCol w:w="1195"/>
        <w:gridCol w:w="155"/>
        <w:gridCol w:w="165"/>
        <w:gridCol w:w="157"/>
        <w:gridCol w:w="906"/>
        <w:gridCol w:w="155"/>
        <w:gridCol w:w="164"/>
        <w:gridCol w:w="228"/>
        <w:gridCol w:w="1449"/>
        <w:gridCol w:w="161"/>
      </w:tblGrid>
      <w:tr>
        <w:trPr/>
        <w:tc>
          <w:tcPr>
            <w:tcW w:w="359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9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Controlling</w:t>
            </w:r>
            <w:r>
              <w:rPr/>
              <w:br/>
            </w:r>
            <w:r>
              <w:rPr>
                <w:b/>
              </w:rPr>
              <w:t>Interest</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pPr>
            <w:r>
              <w:rPr>
                <w:b/>
              </w:rPr>
              <w:t>Member’s</w:t>
            </w:r>
            <w:r>
              <w:rPr/>
              <w:br/>
            </w:r>
            <w:r>
              <w:rPr>
                <w:b/>
              </w:rPr>
              <w:t>Equity</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77" w:type="dxa"/>
            <w:gridSpan w:val="2"/>
            <w:tcBorders>
              <w:bottom w:val="single" w:sz="8" w:space="0" w:color="000000"/>
            </w:tcBorders>
            <w:tcMar>
              <w:bottom w:w="28" w:type="dxa"/>
            </w:tcMar>
            <w:vAlign w:val="bottom"/>
          </w:tcPr>
          <w:p>
            <w:pPr>
              <w:pStyle w:val="TableContents"/>
              <w:bidi w:val="0"/>
              <w:spacing w:before="0" w:after="283"/>
              <w:jc w:val="center"/>
              <w:rPr/>
            </w:pPr>
            <w:r>
              <w:rPr>
                <w:b/>
              </w:rPr>
              <w:t>Total Member’s</w:t>
            </w:r>
            <w:r>
              <w:rPr/>
              <w:br/>
            </w:r>
            <w:r>
              <w:rPr>
                <w:b/>
              </w:rPr>
              <w:t>Equity</w:t>
            </w:r>
          </w:p>
        </w:tc>
        <w:tc>
          <w:tcPr>
            <w:tcW w:w="161" w:type="dxa"/>
            <w:tcBorders/>
            <w:vAlign w:val="bottom"/>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January 1, 2023</w:t>
            </w:r>
          </w:p>
        </w:tc>
        <w:tc>
          <w:tcPr>
            <w:tcW w:w="21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1,154</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(147,403</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643,198</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496,949</w:t>
            </w:r>
          </w:p>
        </w:tc>
        <w:tc>
          <w:tcPr>
            <w:tcW w:w="161" w:type="dxa"/>
            <w:tcBorders/>
            <w:shd w:fill="CCEEFF" w:val="clear"/>
            <w:vAlign w:val="bottom"/>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2,374</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2,374</w:t>
            </w:r>
          </w:p>
        </w:tc>
        <w:tc>
          <w:tcPr>
            <w:tcW w:w="161" w:type="dxa"/>
            <w:tcBorders/>
            <w:vAlign w:val="bottom"/>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888</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888</w:t>
            </w:r>
          </w:p>
        </w:tc>
        <w:tc>
          <w:tcPr>
            <w:tcW w:w="161" w:type="dxa"/>
            <w:tcBorders/>
            <w:shd w:fill="CCEEFF" w:val="clear"/>
            <w:vAlign w:val="bottom"/>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(109,842</w:t>
            </w:r>
          </w:p>
        </w:tc>
        <w:tc>
          <w:tcPr>
            <w:tcW w:w="161" w:type="dxa"/>
            <w:tcBorders/>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2023</w:t>
            </w:r>
          </w:p>
        </w:tc>
        <w:tc>
          <w:tcPr>
            <w:tcW w:w="21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2,043</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(257,246</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645,572</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390,369</w:t>
            </w:r>
          </w:p>
        </w:tc>
        <w:tc>
          <w:tcPr>
            <w:tcW w:w="161"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9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3,212</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3,212</w:t>
            </w:r>
          </w:p>
        </w:tc>
        <w:tc>
          <w:tcPr>
            <w:tcW w:w="161" w:type="dxa"/>
            <w:tcBorders/>
            <w:vAlign w:val="bottom"/>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465</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465</w:t>
            </w:r>
          </w:p>
        </w:tc>
        <w:tc>
          <w:tcPr>
            <w:tcW w:w="161" w:type="dxa"/>
            <w:tcBorders/>
            <w:shd w:fill="CCEEFF" w:val="clear"/>
            <w:vAlign w:val="bottom"/>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(10,525</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(10,525</w:t>
            </w:r>
          </w:p>
        </w:tc>
        <w:tc>
          <w:tcPr>
            <w:tcW w:w="161" w:type="dxa"/>
            <w:tcBorders/>
            <w:vAlign w:val="bottom"/>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9,924</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9,926</w:t>
            </w:r>
          </w:p>
        </w:tc>
        <w:tc>
          <w:tcPr>
            <w:tcW w:w="161"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Balance, December 31, 2024</w:t>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2,510</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(247,322</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638,259</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449" w:type="dxa"/>
            <w:tcBorders/>
            <w:vAlign w:val="bottom"/>
          </w:tcPr>
          <w:p>
            <w:pPr>
              <w:pStyle w:val="TableContents"/>
              <w:bidi w:val="0"/>
              <w:spacing w:before="0" w:after="283"/>
              <w:jc w:val="right"/>
              <w:rPr/>
            </w:pPr>
            <w:r>
              <w:rPr/>
              <w:t>393,447</w:t>
            </w:r>
          </w:p>
        </w:tc>
        <w:tc>
          <w:tcPr>
            <w:tcW w:w="161" w:type="dxa"/>
            <w:tcBorders/>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9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3,323</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3,323</w:t>
            </w:r>
          </w:p>
        </w:tc>
        <w:tc>
          <w:tcPr>
            <w:tcW w:w="161" w:type="dxa"/>
            <w:tcBorders/>
            <w:shd w:fill="CCEEFF" w:val="clear"/>
            <w:vAlign w:val="bottom"/>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(91,248</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(91,248</w:t>
            </w:r>
          </w:p>
        </w:tc>
        <w:tc>
          <w:tcPr>
            <w:tcW w:w="161" w:type="dxa"/>
            <w:tcBorders/>
            <w:vAlign w:val="bottom"/>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520</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149,183</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149,703</w:t>
            </w:r>
          </w:p>
        </w:tc>
        <w:tc>
          <w:tcPr>
            <w:tcW w:w="161"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Balance, December 31, 2025</w:t>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3,030</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(98,139</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06" w:type="dxa"/>
            <w:tcBorders/>
            <w:vAlign w:val="bottom"/>
          </w:tcPr>
          <w:p>
            <w:pPr>
              <w:pStyle w:val="TableContents"/>
              <w:bidi w:val="0"/>
              <w:spacing w:before="0" w:after="283"/>
              <w:jc w:val="right"/>
              <w:rPr/>
            </w:pPr>
            <w:r>
              <w:rPr/>
              <w:t>550,334</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449" w:type="dxa"/>
            <w:tcBorders/>
            <w:vAlign w:val="bottom"/>
          </w:tcPr>
          <w:p>
            <w:pPr>
              <w:pStyle w:val="TableContents"/>
              <w:bidi w:val="0"/>
              <w:spacing w:before="0" w:after="283"/>
              <w:jc w:val="right"/>
              <w:rPr/>
            </w:pPr>
            <w:r>
              <w:rPr/>
              <w:t>455,225</w:t>
            </w:r>
          </w:p>
        </w:tc>
        <w:tc>
          <w:tcPr>
            <w:tcW w:w="161" w:type="dxa"/>
            <w:tcBorders/>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9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26" w:name="fin31834_12"/>
      <w:bookmarkEnd w:id="26"/>
      <w:r>
        <w:rPr>
          <w:rFonts w:ascii="Times New Roman" w:hAnsi="Times New Roman"/>
          <w:b/>
          <w:sz w:val="20"/>
        </w:rPr>
        <w:t xml:space="preserve">Consolidated Statements of Cash Flows </w:t>
      </w:r>
    </w:p>
    <w:p>
      <w:pPr>
        <w:pStyle w:val="TextBody"/>
        <w:bidi w:val="0"/>
        <w:spacing w:before="24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33"/>
        <w:gridCol w:w="222"/>
        <w:gridCol w:w="140"/>
        <w:gridCol w:w="884"/>
        <w:gridCol w:w="155"/>
        <w:gridCol w:w="180"/>
        <w:gridCol w:w="140"/>
        <w:gridCol w:w="832"/>
        <w:gridCol w:w="155"/>
        <w:gridCol w:w="180"/>
        <w:gridCol w:w="140"/>
        <w:gridCol w:w="883"/>
        <w:gridCol w:w="161"/>
      </w:tblGrid>
      <w:tr>
        <w:trPr/>
        <w:tc>
          <w:tcPr>
            <w:tcW w:w="6133"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3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68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149,703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(109,843</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85,543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84,836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81,832</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1,337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4,329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2,790</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437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(2,635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2,234</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Unit-based compensation expense</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27,326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2,375</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(1,803</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220</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3,061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Write off of project development costs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7,180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457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498</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21,469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(49,970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81,709</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(100,437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133,127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30,731</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and non-current assets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(32,801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(2,526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(24,708</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109,250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(96,457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(89,820</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66,896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24,344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75,746</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(4,313</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1,287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(1,669</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331,645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117,613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50,292</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(21,411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(8,569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(14,404</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acquisitions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(55,331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 from investment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3,046</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 unconsolidated entity</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(2,500</w:t>
            </w:r>
          </w:p>
        </w:tc>
        <w:tc>
          <w:tcPr>
            <w:tcW w:w="161" w:type="dxa"/>
            <w:tcBorders/>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(76,742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(8,269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(13,858</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debt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32,500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 on debt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(4,062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(18,622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(4,000</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line of credit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97,250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126,760</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Repayments to line of credit</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(97,250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(145,000</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financing fees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(8,781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finance leases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(9,324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(4,299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(3,701</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on equipment financing</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14,500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24,842</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equipment financing</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(6,201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(3,467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(1,831</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(32,833</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Deferred purchase price</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(34,144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offering costs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(4,179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465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888</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to parent</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(91,248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(10,525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(68,014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(79,373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(34,875</w:t>
            </w:r>
          </w:p>
        </w:tc>
        <w:tc>
          <w:tcPr>
            <w:tcW w:w="161" w:type="dxa"/>
            <w:tcBorders/>
            <w:vAlign w:val="bottom"/>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186,889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29,971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1,559</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207,987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178,016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176,457</w:t>
            </w:r>
          </w:p>
        </w:tc>
        <w:tc>
          <w:tcPr>
            <w:tcW w:w="161" w:type="dxa"/>
            <w:tcBorders/>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394,876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207,987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178,016</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2,488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204</w:t>
            </w:r>
          </w:p>
        </w:tc>
        <w:tc>
          <w:tcPr>
            <w:tcW w:w="161" w:type="dxa"/>
            <w:tcBorders/>
            <w:shd w:fill="CCEEFF" w:val="clear"/>
            <w:vAlign w:val="bottom"/>
          </w:tcPr>
          <w:p>
            <w:pPr>
              <w:pStyle w:val="TableContents"/>
              <w:bidi w:val="0"/>
              <w:spacing w:before="0" w:after="283"/>
              <w:jc w:val="left"/>
              <w:rPr/>
            </w:pPr>
            <w:r>
              <w:rPr/>
              <w:t> </w:t>
            </w:r>
          </w:p>
        </w:tc>
      </w:tr>
      <w:tr>
        <w:trPr/>
        <w:tc>
          <w:tcPr>
            <w:tcW w:w="6133"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55,934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43,227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53,742</w:t>
            </w:r>
          </w:p>
        </w:tc>
        <w:tc>
          <w:tcPr>
            <w:tcW w:w="161"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7" w:name="fin31834_13"/>
      <w:bookmarkEnd w:id="27"/>
      <w:r>
        <w:rPr>
          <w:rFonts w:ascii="Times New Roman" w:hAnsi="Times New Roman"/>
          <w:b/>
          <w:sz w:val="20"/>
        </w:rPr>
        <w:t xml:space="preserve">(1)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conducted primarily through its subsidiaries, SOLV Energy, LLC, SEHV Solutions, LLC (collectively, “SOLV Energy”), along with CS Energy LLC, and CS Energy Devco, LLC, (collectively, “CS Energy”), SOLV Drilling Industrial Services, LLC (“SDI”) (f/k/a Sacramento Drilling, Inc), and Spartan Infrastructure, Inc. (“Spartan”).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formed on December 23, 2021, from the acquisition of the Swinerton Renewable Energy EPC and O&amp;M operating units (f/k/a SOLV Energy LLC) by American Securities LLC, a leading U.S. private equity firm, from Swinerton Inc. (“Carve-out”). </w:t>
      </w:r>
    </w:p>
    <w:p>
      <w:pPr>
        <w:pStyle w:val="TextBody"/>
        <w:bidi w:val="0"/>
        <w:spacing w:before="240" w:after="0"/>
        <w:jc w:val="left"/>
        <w:rPr>
          <w:rFonts w:ascii="Times New Roman" w:hAnsi="Times New Roman"/>
          <w:sz w:val="20"/>
        </w:rPr>
      </w:pPr>
      <w:r>
        <w:rPr>
          <w:rFonts w:ascii="Times New Roman" w:hAnsi="Times New Roman"/>
          <w:sz w:val="20"/>
        </w:rPr>
        <w:t>On October 7, 2024 (“Merger Date”), ASP Endeavor Acquisition LLC (“ASPE”), the parent company of CS Energy, merged with the Company (“Merger”). The Company is the surviving entity in this merger of entities under common control. See Note 2—</w:t>
      </w:r>
      <w:r>
        <w:rPr>
          <w:rFonts w:ascii="Times New Roman" w:hAnsi="Times New Roman"/>
          <w:i/>
          <w:sz w:val="20"/>
        </w:rPr>
        <w:t>Basis of Presentation</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Merger, the Company was renamed SOLV Energy Holdings LLC (f/k/a ASP SOLV Intermediate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have been retrospectively adjusted for all periods presented to reflect the combined results of operations, financial position and cash flows of both entities as if the merger had occurred as of the earliest period presented,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controlled subsidiaries which reflect all adjustments necessary to state fairly the Company’s consolidated financial position, results of operations and cash flows in accordance with principles generally accepted in the United States of America (“U.S. GAAP”). All intercompany accounts and transactions have been eliminated in consolidation. 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 contract or program as the Company’s operating cycle, which is generally longer than one-year. This primarily impacts contract liabilities and contract assets. The Company classifies all other assets and liabilities based on whether the asset will be realized or the liability will be paid within one year. Certain prior period amounts have been reclassified to conform to the current period presentation for comparability. </w:t>
      </w:r>
    </w:p>
    <w:p>
      <w:pPr>
        <w:pStyle w:val="TextBody"/>
        <w:bidi w:val="0"/>
        <w:spacing w:before="360" w:after="0"/>
        <w:jc w:val="left"/>
        <w:rPr>
          <w:rFonts w:ascii="Times New Roman" w:hAnsi="Times New Roman"/>
          <w:b/>
          <w:sz w:val="20"/>
        </w:rPr>
      </w:pPr>
      <w:r>
        <w:rPr>
          <w:rFonts w:ascii="Times New Roman" w:hAnsi="Times New Roman"/>
          <w:b/>
          <w:sz w:val="20"/>
        </w:rPr>
        <w:t xml:space="preserve">(3)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of the Company have been prepared in accordance with U.S. GAAP. The significant accounting policies described below, together with other notes that follow,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the amounts reported in the accompanying consolidated financial statements and these notes.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could differ from those estimates and may result in material effects on the Company’s operating results and financial position. Estimates made in preparing the accompanying consolidated financial statements primarily include, but are not limited to, those related to revenue recognition, goodwill and long-lived asset valuations, impairment assessments and unit-based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direct and incremental costs incurred in connection with the Company’s IPO, including certain legal, accounting, and other IPO related costs. Deferred offering costs are capitalized and recorded in “Other long-term assets” on the consolidated balance sheets. Upon the completion of the IPO, deferred offering costs are recorded in stockholders’ equity as a reduction of the offering proceeds. No deferred offering costs were recorded as of December 31, 2024. As of December 31, 2025, $6,052 of deferred offering costs are recorded in “Other long-term assets” on the Company’s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categorizes assets and liabilities, measured at fair value, into one of three different levels depending on the observability of the inputs employed in the instrument. Level 1 inputs are quoted prices for identical instruments in active markets. Level 2 inputs are quoted for similar instruments in active markets; quoted prices for identical or similar instruments that are not active. Level 3 inputs are model-derived valuations in which one or more significant inputs or significant value-drivers are unobservable. Fair value measurements are classified according to the lowest level input or value that is significant to the valuation.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financial instruments consist primarily of cash and cash equivalents, trade receivables, contract assets and contract liabilities, accounts payable, accrued liabilities, and debt instruments. The carrying amounts of the Company’s cash and cash equivalents, receivables and payables approximate fair value due to the short-term nature of those instruments. The carrying amounts of the Company’s debt instruments approximate their respective fair values.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highly liquid investments which have an initial maturity of three months or less. The Company places its cash and cash equivalents with high credit quality financial institutions. At times, such amounts may be in excess of the Federal Deposit Insurance Corporation (“FDIC”) limits. Financial instruments that potentially subject the Company to concentrations of credit risk consist principally of cash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to customers using credit terms customary in the construction industry. Accounts receivable are recorded at invoiced amounts and generally do not bear interest. The Company provides an allowance for credit losses to estimate losses from uncollectible accounts in accordance with ASC 326, </w:t>
      </w:r>
      <w:r>
        <w:rPr>
          <w:rFonts w:ascii="Times New Roman" w:hAnsi="Times New Roman"/>
          <w:i/>
          <w:sz w:val="20"/>
        </w:rPr>
        <w:t>Financial Instruments – Credit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this method an allowance is recorded based upon historical experience and management’s evaluation of, among other factors, current and reasonably supportable expected future economic conditions and the customer’s willingness or ability to pay. The following table sets forth activities in the allowance for credit losses for the periods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5575"/>
        <w:gridCol w:w="321"/>
        <w:gridCol w:w="140"/>
        <w:gridCol w:w="397"/>
        <w:gridCol w:w="60"/>
        <w:gridCol w:w="321"/>
        <w:gridCol w:w="140"/>
        <w:gridCol w:w="643"/>
        <w:gridCol w:w="158"/>
      </w:tblGrid>
      <w:tr>
        <w:trPr/>
        <w:tc>
          <w:tcPr>
            <w:tcW w:w="557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7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557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55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7" w:type="dxa"/>
            <w:tcBorders/>
            <w:shd w:fill="CCEEFF" w:val="clear"/>
            <w:vAlign w:val="bottom"/>
          </w:tcPr>
          <w:p>
            <w:pPr>
              <w:pStyle w:val="TableContents"/>
              <w:bidi w:val="0"/>
              <w:spacing w:before="0" w:after="283"/>
              <w:jc w:val="right"/>
              <w:rPr/>
            </w:pPr>
            <w:r>
              <w:rPr/>
              <w:t>344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2,979</w:t>
            </w:r>
          </w:p>
        </w:tc>
        <w:tc>
          <w:tcPr>
            <w:tcW w:w="158" w:type="dxa"/>
            <w:tcBorders/>
            <w:shd w:fill="CCEEFF" w:val="clear"/>
            <w:vAlign w:val="bottom"/>
          </w:tcPr>
          <w:p>
            <w:pPr>
              <w:pStyle w:val="TableContents"/>
              <w:bidi w:val="0"/>
              <w:spacing w:before="0" w:after="283"/>
              <w:jc w:val="left"/>
              <w:rPr/>
            </w:pPr>
            <w:r>
              <w:rPr/>
              <w:t> </w:t>
            </w:r>
          </w:p>
        </w:tc>
      </w:tr>
      <w:tr>
        <w:trPr/>
        <w:tc>
          <w:tcPr>
            <w:tcW w:w="5575"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credit loss expense</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437</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55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Recoveries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(2,624</w:t>
            </w:r>
          </w:p>
        </w:tc>
        <w:tc>
          <w:tcPr>
            <w:tcW w:w="158" w:type="dxa"/>
            <w:tcBorders/>
            <w:shd w:fill="CCEEFF" w:val="clear"/>
            <w:vAlign w:val="bottom"/>
          </w:tcPr>
          <w:p>
            <w:pPr>
              <w:pStyle w:val="TableContents"/>
              <w:bidi w:val="0"/>
              <w:spacing w:before="0" w:after="283"/>
              <w:jc w:val="left"/>
              <w:rPr/>
            </w:pPr>
            <w:r>
              <w:rPr/>
              <w:t>) </w:t>
            </w:r>
          </w:p>
        </w:tc>
      </w:tr>
      <w:tr>
        <w:trPr/>
        <w:tc>
          <w:tcPr>
            <w:tcW w:w="557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end of year</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7" w:type="dxa"/>
            <w:tcBorders/>
            <w:vAlign w:val="bottom"/>
          </w:tcPr>
          <w:p>
            <w:pPr>
              <w:pStyle w:val="TableContents"/>
              <w:bidi w:val="0"/>
              <w:spacing w:before="0" w:after="283"/>
              <w:jc w:val="right"/>
              <w:rPr/>
            </w:pPr>
            <w:r>
              <w:rPr/>
              <w:t>781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3" w:type="dxa"/>
            <w:tcBorders/>
            <w:vAlign w:val="bottom"/>
          </w:tcPr>
          <w:p>
            <w:pPr>
              <w:pStyle w:val="TableContents"/>
              <w:bidi w:val="0"/>
              <w:spacing w:before="0" w:after="283"/>
              <w:jc w:val="right"/>
              <w:rPr/>
            </w:pPr>
            <w:r>
              <w:rPr/>
              <w:t>344</w:t>
            </w:r>
          </w:p>
        </w:tc>
        <w:tc>
          <w:tcPr>
            <w:tcW w:w="158" w:type="dxa"/>
            <w:tcBorders/>
            <w:vAlign w:val="bottom"/>
          </w:tcPr>
          <w:p>
            <w:pPr>
              <w:pStyle w:val="TableContents"/>
              <w:bidi w:val="0"/>
              <w:spacing w:before="0" w:after="283"/>
              <w:jc w:val="left"/>
              <w:rPr/>
            </w:pPr>
            <w:r>
              <w:rPr/>
              <w:t> </w:t>
            </w:r>
          </w:p>
        </w:tc>
      </w:tr>
      <w:tr>
        <w:trPr/>
        <w:tc>
          <w:tcPr>
            <w:tcW w:w="557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as project development costs only those costs incurred in connection with the development of solar and energy storage projects, primarily direct labor, outside contractor services, consulting fees, legal fees and associated travel, if incurred after a point in time when the realization of related revenue becomes probable. Management continually reviews the feasibility of each project and will write-off related proceeds to revenues and the capitalized project costs are written off to cost of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Depreciation is recognized over the assets estimated useful lives using the straight-line method. The range of estimated useful lives for the respective assets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83"/>
        <w:gridCol w:w="237"/>
        <w:gridCol w:w="60"/>
        <w:gridCol w:w="897"/>
        <w:gridCol w:w="62"/>
      </w:tblGrid>
      <w:tr>
        <w:trPr/>
        <w:tc>
          <w:tcPr>
            <w:tcW w:w="5683"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5-7 years</w:t>
            </w:r>
          </w:p>
        </w:tc>
        <w:tc>
          <w:tcPr>
            <w:tcW w:w="62"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5 years</w:t>
            </w:r>
          </w:p>
        </w:tc>
        <w:tc>
          <w:tcPr>
            <w:tcW w:w="62"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5 years</w:t>
            </w:r>
          </w:p>
        </w:tc>
        <w:tc>
          <w:tcPr>
            <w:tcW w:w="62"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5 years</w:t>
            </w:r>
          </w:p>
        </w:tc>
        <w:tc>
          <w:tcPr>
            <w:tcW w:w="62"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3-7 years</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additions or improvements extending asset lives are capitalized as incurred, while repairs and maintenance that do not improve or extend the life of the respective asset are expensed as incurred. Leasehold improvements are amortized on a straight-line basis over the shorter of their estimated useful lives or the remaining terms of the underlying lease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Software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costs incurred to develop software for internal use. Internal-use software development costs are capitalized during the application development stage and are reflected in “Property and Equipment” on the consolidated balance sheets. Capitalized costs are amortized over the estimated useful life of the software using the straight-line method, generally three to seven years, beginning when the software is ready for its intended use. Costs incurred in the preliminary project stage and post-implementation-operation stage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that are held and used including definite lived intangibles, are assessed for impairment whenever events or changes in circumstances indicate their carrying values may not be recoverable. Such reviews are performed in accordance with ASC 360, </w:t>
      </w:r>
      <w:r>
        <w:rPr>
          <w:rFonts w:ascii="Times New Roman" w:hAnsi="Times New Roman"/>
          <w:i/>
          <w:sz w:val="20"/>
        </w:rPr>
        <w:t>Property, Plant and Equipment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impairment loss is indicated if the total future estimated undiscounted cash flows expected from an asset, or asset group, are less than its carrying value. An impairment charge is measured as the excess of an asset, or asset group’s carrying amount over its fair value with the difference recorded within operating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Fair values are determined by a variety of valuation methods, including appraisals, sales prices of similar assets and present value techniques. Impairment losses for assets, or asset groups, to be disposed of by sale are recognized at the lower of the carrying amount of the asset, or asset group, or fair value less cost to sell. </w:t>
      </w:r>
    </w:p>
    <w:p>
      <w:pPr>
        <w:pStyle w:val="TextBody"/>
        <w:bidi w:val="0"/>
        <w:spacing w:before="240" w:after="0"/>
        <w:jc w:val="left"/>
        <w:rPr>
          <w:rFonts w:ascii="Times New Roman" w:hAnsi="Times New Roman"/>
          <w:sz w:val="20"/>
        </w:rPr>
      </w:pPr>
      <w:r>
        <w:rPr>
          <w:rFonts w:ascii="Times New Roman" w:hAnsi="Times New Roman"/>
          <w:sz w:val="20"/>
        </w:rPr>
        <w:t xml:space="preserve">There were no impairments of the Company’s long-lived assets in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cost paid over the fair value of net tangible and identifiable intangible assets acquired from businesses and is stated at cost. The Company has recorded goodwill in connection with its historical and current year acquisitions of businesses. </w:t>
      </w:r>
    </w:p>
    <w:p>
      <w:pPr>
        <w:pStyle w:val="TextBody"/>
        <w:bidi w:val="0"/>
        <w:spacing w:before="240" w:after="0"/>
        <w:jc w:val="left"/>
        <w:rPr>
          <w:rFonts w:ascii="Times New Roman" w:hAnsi="Times New Roman"/>
          <w:sz w:val="20"/>
        </w:rPr>
      </w:pPr>
      <w:r>
        <w:rPr>
          <w:rFonts w:ascii="Times New Roman" w:hAnsi="Times New Roman"/>
          <w:sz w:val="20"/>
        </w:rPr>
        <w:t xml:space="preserve">Goodwill is required to be assessed for impairment at the reporting unit level, which represents the operating segment level or one level below the operating segment level for which discrete financial information is available. </w:t>
      </w:r>
    </w:p>
    <w:p>
      <w:pPr>
        <w:pStyle w:val="TextBody"/>
        <w:bidi w:val="0"/>
        <w:spacing w:before="240" w:after="0"/>
        <w:jc w:val="left"/>
        <w:rPr>
          <w:rFonts w:ascii="Times New Roman" w:hAnsi="Times New Roman"/>
          <w:sz w:val="20"/>
        </w:rPr>
      </w:pPr>
      <w:r>
        <w:rPr>
          <w:rFonts w:ascii="Times New Roman" w:hAnsi="Times New Roman"/>
          <w:sz w:val="20"/>
        </w:rPr>
        <w:t xml:space="preserve">Goodwill is tested for impairment annually on October 1, or more frequently if events or circumstances arise which indicate that the fair value of a reporting unit with goodwill is below its carrying amount. The Company assesses qualitative factors to determine whether it is more likely than not that the fair value of its reporting unit is less than its carrying value. </w:t>
      </w:r>
    </w:p>
    <w:p>
      <w:pPr>
        <w:pStyle w:val="TextBody"/>
        <w:bidi w:val="0"/>
        <w:spacing w:before="240" w:after="0"/>
        <w:jc w:val="left"/>
        <w:rPr>
          <w:rFonts w:ascii="Times New Roman" w:hAnsi="Times New Roman"/>
          <w:sz w:val="20"/>
        </w:rPr>
      </w:pPr>
      <w:r>
        <w:rPr>
          <w:rFonts w:ascii="Times New Roman" w:hAnsi="Times New Roman"/>
          <w:sz w:val="20"/>
        </w:rPr>
        <w:t xml:space="preserve">Qualitative factors assessed for each reporting unit include, among other things, enterprise value, macroeconomic conditions, cost factors and other industry and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believes that, as a result of its qualitative assessment, that it is more likely than not that the reporting unit’s fair value is less than its carrying amount, then a quantitative impairment test is required. The quantitative assessment estimates the fair value of the reporting unit using income and market approaches and compares that amount to the carrying value of that reporting unit. If the carrying amount of a reporting unit exceeds its fair value, an impairment charge for the difference is recorded in the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investment arrangements in the normal course of business. Investments in entities over which the Company does not have the ability to exercise significant influence are either considered marketable securities or non-marketable equity securities. Non-marketable equity investments without a readily determinable fair value are measured and recorded using a measurement alternative under which they are measured at cost and adjusted for observable price changes and impairments, if any. Observable price changes result from, among other things, equity transactions for the same issuer executed during the reporting period, including subsequent equity offerings or other reported transactions related to the same issuer. The Company recognizes impairments on marketable and non-marketable equity securities if there are sufficient indicators that the fair value of the investment is less than its carrying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 right-of-use asset and lease liability for its leases at the commencement date equal to the present value of the contractual minimum lease payments over the lease term. The present value is calculated using the rate implicit in the lease, if known, or the Company’s incremental secured borrowing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accounts for each lease component and its associated non-lease components as a single lease component for all classes of assets. The Company accounts for both lease and non-lease components under the lease accounting guidance. </w:t>
      </w:r>
    </w:p>
    <w:p>
      <w:pPr>
        <w:pStyle w:val="TextBody"/>
        <w:bidi w:val="0"/>
        <w:spacing w:before="240" w:after="0"/>
        <w:jc w:val="left"/>
        <w:rPr>
          <w:rFonts w:ascii="Times New Roman" w:hAnsi="Times New Roman"/>
          <w:sz w:val="20"/>
        </w:rPr>
      </w:pPr>
      <w:r>
        <w:rPr>
          <w:rFonts w:ascii="Times New Roman" w:hAnsi="Times New Roman"/>
          <w:sz w:val="20"/>
        </w:rPr>
        <w:t xml:space="preserve">The related lease payments are expensed on a straight-line basis over the lease term, including, as applicable, any free-rent period during which the Company has the right to use the asset. </w:t>
      </w:r>
    </w:p>
    <w:p>
      <w:pPr>
        <w:pStyle w:val="TextBody"/>
        <w:bidi w:val="0"/>
        <w:spacing w:before="240" w:after="0"/>
        <w:jc w:val="left"/>
        <w:rPr>
          <w:rFonts w:ascii="Times New Roman" w:hAnsi="Times New Roman"/>
          <w:sz w:val="20"/>
        </w:rPr>
      </w:pPr>
      <w:r>
        <w:rPr>
          <w:rFonts w:ascii="Times New Roman" w:hAnsi="Times New Roman"/>
          <w:sz w:val="20"/>
        </w:rPr>
        <w:t xml:space="preserve">Variable lease payments not included in the measurement of the lease liability are expensed as incurred.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 </w:t>
      </w:r>
    </w:p>
    <w:p>
      <w:pPr>
        <w:pStyle w:val="TextBody"/>
        <w:bidi w:val="0"/>
        <w:spacing w:before="240" w:after="0"/>
        <w:jc w:val="left"/>
        <w:rPr>
          <w:rFonts w:ascii="Times New Roman" w:hAnsi="Times New Roman"/>
          <w:sz w:val="20"/>
        </w:rPr>
      </w:pPr>
      <w:r>
        <w:rPr>
          <w:rFonts w:ascii="Times New Roman" w:hAnsi="Times New Roman"/>
          <w:sz w:val="20"/>
        </w:rPr>
        <w:t>Refer to Note 9—</w:t>
      </w:r>
      <w:r>
        <w:rPr>
          <w:rFonts w:ascii="Times New Roman" w:hAnsi="Times New Roman"/>
          <w:i/>
          <w:sz w:val="20"/>
        </w:rPr>
        <w:t>Leases</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is a limited liability company treated as a disregarded entity for U.S. federal income tax purposes. As such, U.S. federal income taxes are not recognized at the Company level but rather its income is allocated to its members. Spartan and its direct parent are corporations that are subject to U.S. federal and applicable state income taxes. The accompanying consolidated financial statements include a provision for income taxes related to the taxable income of these corporate subsidiaries. </w:t>
      </w:r>
    </w:p>
    <w:p>
      <w:pPr>
        <w:pStyle w:val="TextBody"/>
        <w:bidi w:val="0"/>
        <w:spacing w:before="240" w:after="0"/>
        <w:jc w:val="left"/>
        <w:rPr>
          <w:rFonts w:ascii="Times New Roman" w:hAnsi="Times New Roman"/>
          <w:sz w:val="20"/>
        </w:rPr>
      </w:pPr>
      <w:r>
        <w:rPr>
          <w:rFonts w:ascii="Times New Roman" w:hAnsi="Times New Roman"/>
          <w:sz w:val="20"/>
        </w:rPr>
        <w:t xml:space="preserve">Deferred income tax assets and liabilities are determined based on temporary differences between the financial reporting bases and the tax bases of assets and liabilities. Deferred income tax assets are also recognized for tax net operating loss carryforwards. These deferred income tax assets and liabilities are measured using the enacted tax rates and laws that will be in effect when such amounts are expected to be reversed or utilized. Valuation allowances are provided to reduce such deferred income tax assets to amounts more likely than not to be ultimately realized.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had no uncertain tax positions. The Company has elected to recognize interest and penalties related to income tax matters as a component of income tax expense, of which no interest or penalties were recorded in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Debt issuance costs include external costs incurred to obtain financing. Debt issuance costs are amortized over the respective term of the financing using the effective interest method. </w:t>
      </w:r>
    </w:p>
    <w:p>
      <w:pPr>
        <w:pStyle w:val="TextBody"/>
        <w:bidi w:val="0"/>
        <w:spacing w:before="240" w:after="0"/>
        <w:jc w:val="left"/>
        <w:rPr>
          <w:rFonts w:ascii="Times New Roman" w:hAnsi="Times New Roman"/>
          <w:sz w:val="20"/>
        </w:rPr>
      </w:pPr>
      <w:r>
        <w:rPr>
          <w:rFonts w:ascii="Times New Roman" w:hAnsi="Times New Roman"/>
          <w:sz w:val="20"/>
        </w:rPr>
        <w:t xml:space="preserve">Debt issuance costs are generally presented on the consolidated balance sheets along with unamortized debt discounts as a reduction to current and long-term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Revenue is recognized when promised goods or services are transferred to customers in an amount that reflects the consideration to which the Company expects to be entitled in exchange for those goods or services. Refer to Note 5—</w:t>
      </w:r>
      <w:r>
        <w:rPr>
          <w:rFonts w:ascii="Times New Roman" w:hAnsi="Times New Roman"/>
          <w:i/>
          <w:sz w:val="20"/>
        </w:rPr>
        <w:t>Revenue from Contracts with Customers</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Unit-Based Compensation </w:t>
      </w:r>
    </w:p>
    <w:p>
      <w:pPr>
        <w:pStyle w:val="TextBody"/>
        <w:bidi w:val="0"/>
        <w:spacing w:before="120" w:after="0"/>
        <w:jc w:val="left"/>
        <w:rPr>
          <w:rFonts w:ascii="Times New Roman" w:hAnsi="Times New Roman"/>
          <w:sz w:val="20"/>
        </w:rPr>
      </w:pPr>
      <w:r>
        <w:rPr>
          <w:rFonts w:ascii="Times New Roman" w:hAnsi="Times New Roman"/>
          <w:sz w:val="20"/>
        </w:rPr>
        <w:t>The Company recognizes compensation expense for unit-based arrangements over the requisite service period of the awards and recognizes forfeitures as they occur. Refer to Note 10—</w:t>
      </w:r>
      <w:r>
        <w:rPr>
          <w:rFonts w:ascii="Times New Roman" w:hAnsi="Times New Roman"/>
          <w:i/>
          <w:sz w:val="20"/>
        </w:rPr>
        <w:t>Unit-Based Compensation</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Multiemployer Pension Plans </w:t>
      </w:r>
    </w:p>
    <w:p>
      <w:pPr>
        <w:pStyle w:val="TextBody"/>
        <w:bidi w:val="0"/>
        <w:spacing w:before="120" w:after="0"/>
        <w:jc w:val="left"/>
        <w:rPr>
          <w:rFonts w:ascii="Times New Roman" w:hAnsi="Times New Roman"/>
          <w:sz w:val="20"/>
        </w:rPr>
      </w:pPr>
      <w:r>
        <w:rPr>
          <w:rFonts w:ascii="Times New Roman" w:hAnsi="Times New Roman"/>
          <w:sz w:val="20"/>
        </w:rPr>
        <w:t>The Company participates in construction-industry multiemployer pension plans. Generally, the plans provide defined benefits to substantially all employees covered by collective bargaining agreements. Contributions are based on the hours worked by employees covered under various collective bargaining agreements. Under the Employee Retirement Income Security Act, a contributor to a multiemployer pension plan is only liable for its proportionate share of a plan’s unfunded vested liability upon termination, or withdrawal from a plan. Refer to Note 11—</w:t>
      </w:r>
      <w:r>
        <w:rPr>
          <w:rFonts w:ascii="Times New Roman" w:hAnsi="Times New Roman"/>
          <w:i/>
          <w:sz w:val="20"/>
        </w:rPr>
        <w:t>Employee Benefit Plans</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 primarily of construction related materials, labor, and professional services, which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consist of corporate operating expenses including operations, information technology, accounting, legal, and human resources, which are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(4) New Accounting Pronouncements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In December 2023, the FASB issued ASU 2023-09, “</w:t>
      </w:r>
      <w:r>
        <w:rPr>
          <w:rFonts w:ascii="Times New Roman" w:hAnsi="Times New Roman"/>
          <w:i/>
          <w:sz w:val="20"/>
        </w:rPr>
        <w:t>Income Taxes (Topic 740): Improvements to Income Tax Disclosure</w:t>
      </w:r>
      <w:r>
        <w:rPr>
          <w:rFonts w:ascii="Times New Roman" w:hAnsi="Times New Roman"/>
          <w:sz w:val="20"/>
        </w:rPr>
        <w:t xml:space="preserve">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adopted this update effective December 31, 2025. The adoption of this ASU did not have a material impact on the financial statements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ASU 2024-03, “</w:t>
      </w:r>
      <w:r>
        <w:rPr>
          <w:rFonts w:ascii="Times New Roman" w:hAnsi="Times New Roman"/>
          <w:i/>
          <w:sz w:val="20"/>
        </w:rPr>
        <w:t>Income Statement—Reporting Comprehensive Income—Expense Disaggregation Disclosures</w:t>
      </w:r>
      <w:r>
        <w:rPr>
          <w:rFonts w:ascii="Times New Roman" w:hAnsi="Times New Roman"/>
          <w:sz w:val="20"/>
        </w:rPr>
        <w:t xml:space="preserve">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 </w:t>
      </w:r>
    </w:p>
    <w:p>
      <w:pPr>
        <w:pStyle w:val="TextBody"/>
        <w:bidi w:val="0"/>
        <w:spacing w:before="240" w:after="0"/>
        <w:jc w:val="left"/>
        <w:rPr>
          <w:rFonts w:ascii="Times New Roman" w:hAnsi="Times New Roman"/>
          <w:sz w:val="20"/>
        </w:rPr>
      </w:pPr>
      <w:r>
        <w:rPr>
          <w:rFonts w:ascii="Times New Roman" w:hAnsi="Times New Roman"/>
          <w:sz w:val="20"/>
        </w:rPr>
        <w:t>In September 2025, the FASB issued ASU 2025-06, “</w:t>
      </w:r>
      <w:r>
        <w:rPr>
          <w:rFonts w:ascii="Times New Roman" w:hAnsi="Times New Roman"/>
          <w:i/>
          <w:sz w:val="20"/>
        </w:rPr>
        <w:t>Intangibles-Goodwill and Other-Internal-Use Software (Subtopic 350-40): Targeted Improvements to the Accounting for Internal-Use Software</w:t>
      </w:r>
      <w:r>
        <w:rPr>
          <w:rFonts w:ascii="Times New Roman" w:hAnsi="Times New Roman"/>
          <w:sz w:val="20"/>
        </w:rPr>
        <w:t xml:space="preserve">”, which amends the guidance on internal-use software. The ASU removed all references to prescriptive and sequential software development stages (referred to as “project stages”) throughout Subtopic 350-40.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Instead an entity is required to start capitalizing software costs when 1) management has authorized and committed to funding the software project and 2) it is probable that the project will be completed, and the software will be used to perform the function intended (referred to as the “probable-to complete recognition threshold”). Among other things, the ASU also specified that disclosures are required for all capitalized internal-use software costs, regardless of how these costs are presented in the financial statements. The ASU is effective for annual reporting periods beginning after December 15, 2027 and interim reporting periods within those annual reporting periods. Early adoption is permitted. The Company is currently assessing the effect of this update. </w:t>
      </w:r>
    </w:p>
    <w:p>
      <w:pPr>
        <w:pStyle w:val="TextBody"/>
        <w:bidi w:val="0"/>
        <w:spacing w:before="360" w:after="0"/>
        <w:jc w:val="left"/>
        <w:rPr>
          <w:rFonts w:ascii="Times New Roman" w:hAnsi="Times New Roman"/>
          <w:b/>
          <w:sz w:val="20"/>
        </w:rPr>
      </w:pPr>
      <w:r>
        <w:rPr>
          <w:rFonts w:ascii="Times New Roman" w:hAnsi="Times New Roman"/>
          <w:b/>
          <w:sz w:val="20"/>
        </w:rPr>
        <w:t xml:space="preserve">(5) Revenue from Contracts with Customers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guidance in ASC 606, </w:t>
      </w:r>
      <w:r>
        <w:rPr>
          <w:rFonts w:ascii="Times New Roman" w:hAnsi="Times New Roman"/>
          <w:i/>
          <w:sz w:val="20"/>
        </w:rPr>
        <w:t>Revenue from Contracts with Customers (Topic 606)</w:t>
      </w:r>
      <w:r>
        <w:rPr>
          <w:rFonts w:ascii="Times New Roman" w:hAnsi="Times New Roman"/>
          <w:sz w:val="20"/>
        </w:rPr>
        <w:t xml:space="preserve">, when recognizing revenue associated with its contracts with customers. 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of the Company’s revenue is recognized over time, as performance obligations are satisfied, due to the continuous transfer of control to the customer and the Company’s continuous right to payment throughout the contracts’ duration. </w:t>
      </w:r>
    </w:p>
    <w:p>
      <w:pPr>
        <w:pStyle w:val="TextBody"/>
        <w:bidi w:val="0"/>
        <w:spacing w:before="240" w:after="0"/>
        <w:jc w:val="left"/>
        <w:rPr>
          <w:rFonts w:ascii="Times New Roman" w:hAnsi="Times New Roman"/>
          <w:sz w:val="20"/>
        </w:rPr>
      </w:pPr>
      <w:r>
        <w:rPr>
          <w:rFonts w:ascii="Times New Roman" w:hAnsi="Times New Roman"/>
          <w:sz w:val="20"/>
        </w:rPr>
        <w:t xml:space="preserve">Contracts where the Company provides a significant service of integrating a set of tasks and components into a single project or capability, are accounted for as a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revenue using the percentage-of-completion method (an input method), based on costs incurred to date compared to total estimated costs. Costs related to uninstalled materials are included in this calculation when incurred, provided that control of those materials has transferred to the customer. This method is the most accurate measure of the Company’s contract performance because it directly measures the value of the goods and services transferred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w:t>
      </w:r>
    </w:p>
    <w:p>
      <w:pPr>
        <w:pStyle w:val="TextBody"/>
        <w:bidi w:val="0"/>
        <w:spacing w:before="240" w:after="0"/>
        <w:jc w:val="left"/>
        <w:rPr>
          <w:rFonts w:ascii="Times New Roman" w:hAnsi="Times New Roman"/>
          <w:sz w:val="20"/>
        </w:rPr>
      </w:pPr>
      <w:r>
        <w:rPr>
          <w:rFonts w:ascii="Times New Roman" w:hAnsi="Times New Roman"/>
          <w:sz w:val="20"/>
        </w:rPr>
        <w:t xml:space="preserve">Precontract costs are expensed as incurred. Because of inherent uncertainties in estimating total costs on uncompleted jobs, it is at least reasonably possible that the estimates used will change in the near term. Estimates are reviewed and updated quarterly. </w:t>
      </w:r>
    </w:p>
    <w:p>
      <w:pPr>
        <w:pStyle w:val="TextBody"/>
        <w:bidi w:val="0"/>
        <w:spacing w:before="240" w:after="0"/>
        <w:jc w:val="left"/>
        <w:rPr>
          <w:rFonts w:ascii="Times New Roman" w:hAnsi="Times New Roman"/>
          <w:sz w:val="20"/>
        </w:rPr>
      </w:pPr>
      <w:r>
        <w:rPr>
          <w:rFonts w:ascii="Times New Roman" w:hAnsi="Times New Roman"/>
          <w:sz w:val="20"/>
        </w:rPr>
        <w:t xml:space="preserve">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240" w:after="0"/>
        <w:jc w:val="left"/>
        <w:rPr>
          <w:rFonts w:ascii="Times New Roman" w:hAnsi="Times New Roman"/>
          <w:sz w:val="20"/>
        </w:rPr>
      </w:pPr>
      <w:r>
        <w:rPr>
          <w:rFonts w:ascii="Times New Roman" w:hAnsi="Times New Roman"/>
          <w:sz w:val="20"/>
        </w:rPr>
        <w:t xml:space="preserve">Revenues recognized by the Company from the sale of development projects are recognized at a point in time when control of the related project transfers to the customer in an amount that reflects the consideration the Company expects to be entitled to in exchange for the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bills as work progresses in accordance with agreed-upon contractual terms, and customer payments are typically due within 30 to 60 days of billing. </w:t>
      </w:r>
    </w:p>
    <w:p>
      <w:pPr>
        <w:pStyle w:val="TextBody"/>
        <w:bidi w:val="0"/>
        <w:spacing w:before="240" w:after="0"/>
        <w:jc w:val="left"/>
        <w:rPr>
          <w:rFonts w:ascii="Times New Roman" w:hAnsi="Times New Roman"/>
          <w:sz w:val="20"/>
        </w:rPr>
      </w:pPr>
      <w:r>
        <w:rPr>
          <w:rFonts w:ascii="Times New Roman" w:hAnsi="Times New Roman"/>
          <w:sz w:val="20"/>
        </w:rPr>
        <w:t xml:space="preserve">Indirect taxes collected from customers and remitted to tax authorities are excluded from revenue and are recorded on a net basis.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revenue disaggregated by service 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79"/>
        <w:gridCol w:w="139"/>
        <w:gridCol w:w="140"/>
        <w:gridCol w:w="1033"/>
        <w:gridCol w:w="60"/>
        <w:gridCol w:w="139"/>
        <w:gridCol w:w="60"/>
        <w:gridCol w:w="560"/>
        <w:gridCol w:w="275"/>
        <w:gridCol w:w="87"/>
        <w:gridCol w:w="140"/>
        <w:gridCol w:w="1033"/>
        <w:gridCol w:w="60"/>
        <w:gridCol w:w="139"/>
        <w:gridCol w:w="60"/>
        <w:gridCol w:w="560"/>
        <w:gridCol w:w="275"/>
        <w:gridCol w:w="86"/>
        <w:gridCol w:w="140"/>
        <w:gridCol w:w="1033"/>
        <w:gridCol w:w="60"/>
        <w:gridCol w:w="139"/>
        <w:gridCol w:w="60"/>
        <w:gridCol w:w="560"/>
        <w:gridCol w:w="288"/>
      </w:tblGrid>
      <w:tr>
        <w:trPr/>
        <w:tc>
          <w:tcPr>
            <w:tcW w:w="307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07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699"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8" w:type="dxa"/>
            <w:tcBorders/>
            <w:vAlign w:val="bottom"/>
          </w:tcPr>
          <w:p>
            <w:pPr>
              <w:pStyle w:val="TableContents"/>
              <w:bidi w:val="0"/>
              <w:spacing w:before="0" w:after="283"/>
              <w:jc w:val="left"/>
              <w:rPr/>
            </w:pPr>
            <w:r>
              <w:rPr/>
              <w:t> </w:t>
            </w:r>
          </w:p>
        </w:tc>
      </w:tr>
      <w:tr>
        <w:trPr/>
        <w:tc>
          <w:tcPr>
            <w:tcW w:w="307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9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9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8" w:type="dxa"/>
            <w:tcBorders/>
            <w:vAlign w:val="bottom"/>
          </w:tcPr>
          <w:p>
            <w:pPr>
              <w:pStyle w:val="TableContents"/>
              <w:bidi w:val="0"/>
              <w:spacing w:before="0" w:after="283"/>
              <w:jc w:val="left"/>
              <w:rPr/>
            </w:pPr>
            <w:r>
              <w:rPr/>
              <w:t> </w:t>
            </w:r>
          </w:p>
        </w:tc>
      </w:tr>
      <w:tr>
        <w:trPr/>
        <w:tc>
          <w:tcPr>
            <w:tcW w:w="30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By service type:</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3079" w:type="dxa"/>
            <w:tcBorders/>
          </w:tcPr>
          <w:p>
            <w:pPr>
              <w:pStyle w:val="TableContents"/>
              <w:bidi w:val="0"/>
              <w:spacing w:before="0" w:after="0"/>
              <w:jc w:val="left"/>
              <w:rPr>
                <w:rFonts w:ascii="Times New Roman" w:hAnsi="Times New Roman"/>
                <w:sz w:val="20"/>
              </w:rPr>
            </w:pPr>
            <w:r>
              <w:rPr>
                <w:rFonts w:ascii="Times New Roman" w:hAnsi="Times New Roman"/>
                <w:sz w:val="20"/>
              </w:rPr>
              <w:t>New Construction</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2,350,485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94.4</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1,773,868</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95.9</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1,940,420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92.4</w:t>
            </w:r>
          </w:p>
        </w:tc>
        <w:tc>
          <w:tcPr>
            <w:tcW w:w="288" w:type="dxa"/>
            <w:tcBorders/>
            <w:vAlign w:val="bottom"/>
          </w:tcPr>
          <w:p>
            <w:pPr>
              <w:pStyle w:val="TableContents"/>
              <w:bidi w:val="0"/>
              <w:spacing w:before="0" w:after="283"/>
              <w:jc w:val="left"/>
              <w:rPr/>
            </w:pPr>
            <w:r>
              <w:rPr/>
              <w:t>% </w:t>
            </w:r>
          </w:p>
        </w:tc>
      </w:tr>
      <w:tr>
        <w:trPr/>
        <w:tc>
          <w:tcPr>
            <w:tcW w:w="3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Infrastructure</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113,216</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73,170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58,981</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w:t>
            </w:r>
          </w:p>
        </w:tc>
        <w:tc>
          <w:tcPr>
            <w:tcW w:w="288" w:type="dxa"/>
            <w:tcBorders/>
            <w:shd w:fill="CCEEFF" w:val="clear"/>
            <w:vAlign w:val="bottom"/>
          </w:tcPr>
          <w:p>
            <w:pPr>
              <w:pStyle w:val="TableContents"/>
              <w:bidi w:val="0"/>
              <w:spacing w:before="0" w:after="283"/>
              <w:jc w:val="left"/>
              <w:rPr/>
            </w:pPr>
            <w:r>
              <w:rPr/>
              <w:t>% </w:t>
            </w:r>
          </w:p>
        </w:tc>
      </w:tr>
      <w:tr>
        <w:trPr/>
        <w:tc>
          <w:tcPr>
            <w:tcW w:w="307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26,795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765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101,242</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4.8</w:t>
            </w:r>
          </w:p>
        </w:tc>
        <w:tc>
          <w:tcPr>
            <w:tcW w:w="288" w:type="dxa"/>
            <w:tcBorders/>
            <w:vAlign w:val="bottom"/>
          </w:tcPr>
          <w:p>
            <w:pPr>
              <w:pStyle w:val="TableContents"/>
              <w:bidi w:val="0"/>
              <w:spacing w:before="0" w:after="283"/>
              <w:jc w:val="left"/>
              <w:rPr/>
            </w:pPr>
            <w:r>
              <w:rPr/>
              <w:t>% </w:t>
            </w:r>
          </w:p>
        </w:tc>
      </w:tr>
      <w:tr>
        <w:trPr/>
        <w:tc>
          <w:tcPr>
            <w:tcW w:w="30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3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2,490,496</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1,847,803</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2,100,643</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88" w:type="dxa"/>
            <w:tcBorders/>
            <w:shd w:fill="CCEEFF" w:val="clear"/>
            <w:vAlign w:val="bottom"/>
          </w:tcPr>
          <w:p>
            <w:pPr>
              <w:pStyle w:val="TableContents"/>
              <w:bidi w:val="0"/>
              <w:spacing w:before="0" w:after="283"/>
              <w:jc w:val="left"/>
              <w:rPr/>
            </w:pPr>
            <w:r>
              <w:rPr/>
              <w:t>% </w:t>
            </w:r>
          </w:p>
        </w:tc>
      </w:tr>
      <w:tr>
        <w:trPr/>
        <w:tc>
          <w:tcPr>
            <w:tcW w:w="307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Variable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during the years ended December 31, 2025 and 2024 by $69,289 and $12,840, respectively, as a result of changes in estimates associated with performance obligations on contracts partially satisfied prior to December 31, 2024 and 2023, respectively. Revenues were negatively impacted by $40,208 during the year-ended December 31, 2023 as a result of changes in estimates associated with performance obligations on contracts partially satisfied prior to 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Practical Expedient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a right to consideration from a customer in an amount that corresponds directly with the value of the Company’s performance completed to date, the Company recognizes revenue in the amount to which it has a right to invoice for services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Remaining performance obligations represent the transaction price of customer contracts for which the work has not been performed. As of December 31, 2025, 2024 and 2023, the aggregate amount of the transaction price allocated to remaining performance obligations was $2,023,670, $981,961 and $959,896, respectively, which related to the Company’s EPC service contracts. The Company anticipates recognizing revenue on substantially all the remaining performance obligations under these contracts over the next 12 to 18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one-year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Unbilled and retention receivables represent the revenue recognized but not yet billed pursuant to contract terms or amounts billed after the period end.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anticipates that substantially all unbilled amounts will be billed and collected over the next 12 to 18 months. Billings do not necessarily correlate to revenue recognized over time using the cost-to-cost input method. </w:t>
      </w:r>
    </w:p>
    <w:p>
      <w:pPr>
        <w:pStyle w:val="TextBody"/>
        <w:bidi w:val="0"/>
        <w:spacing w:before="240" w:after="0"/>
        <w:jc w:val="left"/>
        <w:rPr>
          <w:rFonts w:ascii="Times New Roman" w:hAnsi="Times New Roman"/>
          <w:sz w:val="20"/>
        </w:rPr>
      </w:pPr>
      <w:r>
        <w:rPr>
          <w:rFonts w:ascii="Times New Roman" w:hAnsi="Times New Roman"/>
          <w:sz w:val="20"/>
        </w:rPr>
        <w:t xml:space="preserve">Deferred revenue represents amounts billed to customers in excess of revenue recognized to date. The Company anticipates that substantially all such amounts will be earned over the next 12 months.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2024 and 2023, the Company recognized revenue of $240,375, $165,302 and $92,120 related to contract liabilities outstanding as of the end of each respective prior year.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77"/>
        <w:gridCol w:w="255"/>
        <w:gridCol w:w="140"/>
        <w:gridCol w:w="809"/>
        <w:gridCol w:w="60"/>
        <w:gridCol w:w="255"/>
        <w:gridCol w:w="140"/>
        <w:gridCol w:w="809"/>
        <w:gridCol w:w="60"/>
        <w:gridCol w:w="255"/>
        <w:gridCol w:w="140"/>
        <w:gridCol w:w="809"/>
        <w:gridCol w:w="63"/>
      </w:tblGrid>
      <w:tr>
        <w:trPr/>
        <w:tc>
          <w:tcPr>
            <w:tcW w:w="4777"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7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47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477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47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and retention receivables</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156,744</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50,200</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183,327</w:t>
            </w:r>
          </w:p>
        </w:tc>
        <w:tc>
          <w:tcPr>
            <w:tcW w:w="63" w:type="dxa"/>
            <w:tcBorders/>
            <w:shd w:fill="CCEEFF" w:val="clear"/>
            <w:vAlign w:val="bottom"/>
          </w:tcPr>
          <w:p>
            <w:pPr>
              <w:pStyle w:val="TableContents"/>
              <w:bidi w:val="0"/>
              <w:spacing w:before="0" w:after="283"/>
              <w:jc w:val="left"/>
              <w:rPr/>
            </w:pPr>
            <w:r>
              <w:rPr/>
              <w:t> </w:t>
            </w:r>
          </w:p>
        </w:tc>
      </w:tr>
      <w:tr>
        <w:trPr/>
        <w:tc>
          <w:tcPr>
            <w:tcW w:w="477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77" w:type="dxa"/>
            <w:tcBorders/>
          </w:tcPr>
          <w:p>
            <w:pPr>
              <w:pStyle w:val="TableContents"/>
              <w:bidi w:val="0"/>
              <w:spacing w:before="0" w:after="0"/>
              <w:jc w:val="left"/>
              <w:rPr>
                <w:rFonts w:ascii="Times New Roman" w:hAnsi="Times New Roman"/>
                <w:sz w:val="20"/>
              </w:rPr>
            </w:pPr>
            <w:r>
              <w:rPr>
                <w:rFonts w:ascii="Times New Roman" w:hAnsi="Times New Roman"/>
                <w:sz w:val="20"/>
              </w:rPr>
              <w:t>Total contract assets</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156,744</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50,200</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183,327</w:t>
            </w:r>
          </w:p>
        </w:tc>
        <w:tc>
          <w:tcPr>
            <w:tcW w:w="63" w:type="dxa"/>
            <w:tcBorders/>
            <w:vAlign w:val="bottom"/>
          </w:tcPr>
          <w:p>
            <w:pPr>
              <w:pStyle w:val="TableContents"/>
              <w:bidi w:val="0"/>
              <w:spacing w:before="0" w:after="283"/>
              <w:jc w:val="left"/>
              <w:rPr/>
            </w:pPr>
            <w:r>
              <w:rPr/>
              <w:t> </w:t>
            </w:r>
          </w:p>
        </w:tc>
      </w:tr>
      <w:tr>
        <w:trPr/>
        <w:tc>
          <w:tcPr>
            <w:tcW w:w="477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308,524</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240,375</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165,302</w:t>
            </w:r>
          </w:p>
        </w:tc>
        <w:tc>
          <w:tcPr>
            <w:tcW w:w="63" w:type="dxa"/>
            <w:tcBorders/>
            <w:shd w:fill="CCEEFF" w:val="clear"/>
            <w:vAlign w:val="bottom"/>
          </w:tcPr>
          <w:p>
            <w:pPr>
              <w:pStyle w:val="TableContents"/>
              <w:bidi w:val="0"/>
              <w:spacing w:before="0" w:after="283"/>
              <w:jc w:val="left"/>
              <w:rPr/>
            </w:pPr>
            <w:r>
              <w:rPr/>
              <w:t> </w:t>
            </w:r>
          </w:p>
        </w:tc>
      </w:tr>
      <w:tr>
        <w:trPr/>
        <w:tc>
          <w:tcPr>
            <w:tcW w:w="477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project losses</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625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1,716</w:t>
            </w:r>
          </w:p>
        </w:tc>
        <w:tc>
          <w:tcPr>
            <w:tcW w:w="63" w:type="dxa"/>
            <w:tcBorders/>
            <w:vAlign w:val="bottom"/>
          </w:tcPr>
          <w:p>
            <w:pPr>
              <w:pStyle w:val="TableContents"/>
              <w:bidi w:val="0"/>
              <w:spacing w:before="0" w:after="283"/>
              <w:jc w:val="left"/>
              <w:rPr/>
            </w:pPr>
            <w:r>
              <w:rPr/>
              <w:t> </w:t>
            </w:r>
          </w:p>
        </w:tc>
      </w:tr>
      <w:tr>
        <w:trPr/>
        <w:tc>
          <w:tcPr>
            <w:tcW w:w="477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308,619</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241,000</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167,018</w:t>
            </w:r>
          </w:p>
        </w:tc>
        <w:tc>
          <w:tcPr>
            <w:tcW w:w="63" w:type="dxa"/>
            <w:tcBorders/>
            <w:shd w:fill="CCEEFF" w:val="clear"/>
            <w:vAlign w:val="bottom"/>
          </w:tcPr>
          <w:p>
            <w:pPr>
              <w:pStyle w:val="TableContents"/>
              <w:bidi w:val="0"/>
              <w:spacing w:before="0" w:after="283"/>
              <w:jc w:val="left"/>
              <w:rPr/>
            </w:pPr>
            <w:r>
              <w:rPr/>
              <w:t> </w:t>
            </w:r>
          </w:p>
        </w:tc>
      </w:tr>
      <w:tr>
        <w:trPr/>
        <w:tc>
          <w:tcPr>
            <w:tcW w:w="477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fluctuate period to period based primarily on changes in the number and size of projects in progress at period end, variability in billing and payment terms, and the amounts of unapproved change orders and contract claims. The increase in contract assets for the year ended December 31, 2025 was primarily attributable to several new large projects that commenced in 2025, partially offset by completion of certain projects and the corresponding billings of amounts previously recorded as contract assets. The decrease in contract assets for the year ended December 31, 2024 was due primarily to completion of certain large projects and the corresponding billing of amounts previously recorded as contract assets.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contract liabilities during the year ended December 31, 2025 is due primarily to several new large projects that commenced in 2025, timing of billings in relation to costs incurred on certain large projects, partially offset by completion of certain large projects and satisfaction of performance obligations related to contract amounts previously billed. The decrease in contract liabilities during the year ended December 31, 2024 is due to completion of certain large projects and satisfaction of performance obligations related to contract amounts previously billed.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(6)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reportable segment which derives revenue through providing EPC, O&amp;M and Development services throughout the United States. The Company derives most of its revenue from its EPC contracts.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managed by segment managers who report to the Chief Executive Officer, the chief operating decision maker (“CODM”). The Company’s two operating segments have been aggregated into one reportable segment due to their similar economic characteristics, nature of services, type of customers and service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hAnsi="Times New Roman"/>
          <w:i/>
          <w:sz w:val="20"/>
        </w:rPr>
        <w:t>Segment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key measure of segment profit or loss utilized by the CODM to assess performance of and allocate resources to the Company’s operating segments is segment adjusted earnings before interest, taxes, depreciation and amortization, adjusted for other non-cash and non-recurring items (“Segment Adjusted EBITDA”). This measure is presented below. The measure of segment assets is reported on the consolidated balance sheet as total consolidated assets.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provides information about the Company’s reportable segment: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27"/>
        <w:gridCol w:w="230"/>
        <w:gridCol w:w="140"/>
        <w:gridCol w:w="984"/>
        <w:gridCol w:w="158"/>
        <w:gridCol w:w="182"/>
        <w:gridCol w:w="140"/>
        <w:gridCol w:w="984"/>
        <w:gridCol w:w="158"/>
        <w:gridCol w:w="182"/>
        <w:gridCol w:w="140"/>
        <w:gridCol w:w="984"/>
        <w:gridCol w:w="163"/>
      </w:tblGrid>
      <w:tr>
        <w:trPr/>
        <w:tc>
          <w:tcPr>
            <w:tcW w:w="4127"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405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3" w:type="dxa"/>
            <w:tcBorders/>
            <w:vAlign w:val="bottom"/>
          </w:tcPr>
          <w:p>
            <w:pPr>
              <w:pStyle w:val="TableContents"/>
              <w:bidi w:val="0"/>
              <w:spacing w:before="0" w:after="283"/>
              <w:jc w:val="left"/>
              <w:rPr/>
            </w:pPr>
            <w:r>
              <w:rPr/>
              <w:t> </w:t>
            </w:r>
          </w:p>
        </w:tc>
      </w:tr>
      <w:tr>
        <w:trPr/>
        <w:tc>
          <w:tcPr>
            <w:tcW w:w="4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2,490,496</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1,847,803</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2,100,643</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revenue(1)</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2,002,194</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1,573,829</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1,978,202</w:t>
            </w:r>
          </w:p>
        </w:tc>
        <w:tc>
          <w:tcPr>
            <w:tcW w:w="163"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items(2)</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146,625</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108,841</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69,833</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Segment Adjusted EBITDA</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341,677</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165,133</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52,608</w:t>
            </w:r>
          </w:p>
        </w:tc>
        <w:tc>
          <w:tcPr>
            <w:tcW w:w="163" w:type="dxa"/>
            <w:tcBorders/>
            <w:vAlign w:val="bottom"/>
          </w:tcPr>
          <w:p>
            <w:pPr>
              <w:pStyle w:val="TableContents"/>
              <w:bidi w:val="0"/>
              <w:spacing w:before="0" w:after="283"/>
              <w:jc w:val="left"/>
              <w:rPr/>
            </w:pPr>
            <w:r>
              <w:rPr/>
              <w:t> </w:t>
            </w:r>
          </w:p>
        </w:tc>
      </w:tr>
      <w:tr>
        <w:trPr/>
        <w:tc>
          <w:tcPr>
            <w:tcW w:w="412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(52,730</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(55,394</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(59,702</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7,156</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4,601</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1,634</w:t>
            </w:r>
          </w:p>
        </w:tc>
        <w:tc>
          <w:tcPr>
            <w:tcW w:w="163"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(85,543</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(84,836</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(81,832</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(27,326</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(8,607</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(2,375</w:t>
            </w:r>
          </w:p>
        </w:tc>
        <w:tc>
          <w:tcPr>
            <w:tcW w:w="163"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(38</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(215</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(4,398</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(17</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236</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(220</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750</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1,803</w:t>
            </w:r>
          </w:p>
        </w:tc>
        <w:tc>
          <w:tcPr>
            <w:tcW w:w="163"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520</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(30,353</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(6,748</w:t>
            </w:r>
          </w:p>
        </w:tc>
        <w:tc>
          <w:tcPr>
            <w:tcW w:w="15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(21,555</w:t>
            </w:r>
          </w:p>
        </w:tc>
        <w:tc>
          <w:tcPr>
            <w:tcW w:w="163" w:type="dxa"/>
            <w:tcBorders/>
            <w:vAlign w:val="bottom"/>
          </w:tcPr>
          <w:p>
            <w:pPr>
              <w:pStyle w:val="TableContents"/>
              <w:bidi w:val="0"/>
              <w:spacing w:before="0" w:after="283"/>
              <w:jc w:val="left"/>
              <w:rPr/>
            </w:pPr>
            <w:r>
              <w:rPr/>
              <w:t>) </w:t>
            </w:r>
          </w:p>
        </w:tc>
      </w:tr>
      <w:tr>
        <w:trPr/>
        <w:tc>
          <w:tcPr>
            <w:tcW w:w="412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income (loss) before income taxes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153,346</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10,522</w:t>
            </w:r>
          </w:p>
        </w:tc>
        <w:tc>
          <w:tcPr>
            <w:tcW w:w="15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(109,639</w:t>
            </w:r>
          </w:p>
        </w:tc>
        <w:tc>
          <w:tcPr>
            <w:tcW w:w="163" w:type="dxa"/>
            <w:tcBorders/>
            <w:shd w:fill="CCEEFF" w:val="clear"/>
            <w:vAlign w:val="bottom"/>
          </w:tcPr>
          <w:p>
            <w:pPr>
              <w:pStyle w:val="TableContents"/>
              <w:bidi w:val="0"/>
              <w:spacing w:before="0" w:after="283"/>
              <w:jc w:val="left"/>
              <w:rPr/>
            </w:pPr>
            <w:r>
              <w:rPr/>
              <w:t>) </w:t>
            </w:r>
          </w:p>
        </w:tc>
      </w:tr>
      <w:tr>
        <w:trPr/>
        <w:tc>
          <w:tcPr>
            <w:tcW w:w="4127"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of revenue, excluding depreciation expense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Primarily includes selling, general and administrative expenses, including bonus expenses, excluding depreciation, non-cash compensation expense, and other non-recurring expenses shown in the reconciliation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(7) Goodwill and Other Intangible Assets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The changes in the carrying amount of goodwill for SOLV’s reportable segment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48"/>
        <w:gridCol w:w="247"/>
        <w:gridCol w:w="140"/>
        <w:gridCol w:w="807"/>
        <w:gridCol w:w="63"/>
      </w:tblGrid>
      <w:tr>
        <w:trPr/>
        <w:tc>
          <w:tcPr>
            <w:tcW w:w="8948"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410,006</w:t>
            </w:r>
          </w:p>
        </w:tc>
        <w:tc>
          <w:tcPr>
            <w:tcW w:w="63" w:type="dxa"/>
            <w:tcBorders/>
            <w:shd w:fill="CCEEFF" w:val="clear"/>
            <w:vAlign w:val="bottom"/>
          </w:tcPr>
          <w:p>
            <w:pPr>
              <w:pStyle w:val="TableContents"/>
              <w:bidi w:val="0"/>
              <w:spacing w:before="0" w:after="283"/>
              <w:jc w:val="left"/>
              <w:rPr/>
            </w:pPr>
            <w:r>
              <w:rPr/>
              <w:t> </w:t>
            </w:r>
          </w:p>
        </w:tc>
      </w:tr>
      <w:tr>
        <w:trPr/>
        <w:tc>
          <w:tcPr>
            <w:tcW w:w="8948" w:type="dxa"/>
            <w:tcBorders/>
          </w:tcPr>
          <w:p>
            <w:pPr>
              <w:pStyle w:val="TableContents"/>
              <w:bidi w:val="0"/>
              <w:spacing w:before="0" w:after="0"/>
              <w:jc w:val="left"/>
              <w:rPr>
                <w:rFonts w:ascii="Times New Roman" w:hAnsi="Times New Roman"/>
                <w:sz w:val="20"/>
              </w:rPr>
            </w:pPr>
            <w:r>
              <w:rPr>
                <w:rFonts w:ascii="Times New Roman" w:hAnsi="Times New Roman"/>
                <w:sz w:val="20"/>
              </w:rPr>
              <w:t>Goodwill related to acquisitions completed in 2025 (Note 15)</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19,273</w:t>
            </w:r>
          </w:p>
        </w:tc>
        <w:tc>
          <w:tcPr>
            <w:tcW w:w="63" w:type="dxa"/>
            <w:tcBorders/>
            <w:vAlign w:val="bottom"/>
          </w:tcPr>
          <w:p>
            <w:pPr>
              <w:pStyle w:val="TableContents"/>
              <w:bidi w:val="0"/>
              <w:spacing w:before="0" w:after="283"/>
              <w:jc w:val="left"/>
              <w:rPr/>
            </w:pPr>
            <w:r>
              <w:rPr/>
              <w:t> </w:t>
            </w:r>
          </w:p>
        </w:tc>
      </w:tr>
      <w:tr>
        <w:trPr/>
        <w:tc>
          <w:tcPr>
            <w:tcW w:w="894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429,279</w:t>
            </w:r>
          </w:p>
        </w:tc>
        <w:tc>
          <w:tcPr>
            <w:tcW w:w="63" w:type="dxa"/>
            <w:tcBorders/>
            <w:shd w:fill="CCEEFF" w:val="clear"/>
            <w:vAlign w:val="bottom"/>
          </w:tcPr>
          <w:p>
            <w:pPr>
              <w:pStyle w:val="TableContents"/>
              <w:bidi w:val="0"/>
              <w:spacing w:before="0" w:after="283"/>
              <w:jc w:val="left"/>
              <w:rPr/>
            </w:pPr>
            <w:r>
              <w:rPr/>
              <w:t> </w:t>
            </w:r>
          </w:p>
        </w:tc>
      </w:tr>
      <w:tr>
        <w:trPr/>
        <w:tc>
          <w:tcPr>
            <w:tcW w:w="894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2025, 2024 and 2023 annual goodwill impairment assessments, management elected to bypass performing qualitative impairment assessments and proceeded directly to performing quantitative impairment tests of the Company’s reporting units. The results of these quantitative tests indicated the fair value of each of the Company’s reporting units exceeded its carrying amount, and therefore, no goodwill impairment charge was recognized in 2025, 2024 or 2023. Therefore, other than the goodwill recognized in connection with current-year acquisitions, there were no changes in the carrying amount of goodwill for the period ended December 31, 2023 to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0"/>
        <w:gridCol w:w="234"/>
        <w:gridCol w:w="193"/>
        <w:gridCol w:w="1431"/>
        <w:gridCol w:w="60"/>
        <w:gridCol w:w="234"/>
        <w:gridCol w:w="157"/>
        <w:gridCol w:w="899"/>
        <w:gridCol w:w="60"/>
        <w:gridCol w:w="234"/>
        <w:gridCol w:w="188"/>
        <w:gridCol w:w="1186"/>
        <w:gridCol w:w="155"/>
        <w:gridCol w:w="181"/>
        <w:gridCol w:w="157"/>
        <w:gridCol w:w="899"/>
        <w:gridCol w:w="67"/>
      </w:tblGrid>
      <w:tr>
        <w:trPr/>
        <w:tc>
          <w:tcPr>
            <w:tcW w:w="387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3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7" w:type="dxa"/>
            <w:tcBorders/>
            <w:vAlign w:val="bottom"/>
          </w:tcPr>
          <w:p>
            <w:pPr>
              <w:pStyle w:val="TableContents"/>
              <w:bidi w:val="0"/>
              <w:spacing w:before="0" w:after="283"/>
              <w:jc w:val="left"/>
              <w:rPr/>
            </w:pPr>
            <w:r>
              <w:rPr/>
              <w:t> </w:t>
            </w:r>
          </w:p>
        </w:tc>
      </w:tr>
      <w:tr>
        <w:trPr/>
        <w:tc>
          <w:tcPr>
            <w:tcW w:w="387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Remaining</w:t>
              <w:br/>
              <w:t>Weighted</w:t>
              <w:br/>
              <w:t>Average</w:t>
              <w:br/>
              <w:t>Amortization</w:t>
              <w:br/>
              <w:t>Period in Years</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 Net</w:t>
            </w:r>
          </w:p>
        </w:tc>
        <w:tc>
          <w:tcPr>
            <w:tcW w:w="67" w:type="dxa"/>
            <w:tcBorders/>
            <w:vAlign w:val="bottom"/>
          </w:tcPr>
          <w:p>
            <w:pPr>
              <w:pStyle w:val="TableContents"/>
              <w:bidi w:val="0"/>
              <w:spacing w:before="0" w:after="283"/>
              <w:jc w:val="left"/>
              <w:rPr/>
            </w:pPr>
            <w:r>
              <w:rPr/>
              <w:t> </w:t>
            </w:r>
          </w:p>
        </w:tc>
      </w:tr>
      <w:tr>
        <w:trPr/>
        <w:tc>
          <w:tcPr>
            <w:tcW w:w="3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3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120,670</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(43,378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77,292</w:t>
            </w:r>
          </w:p>
        </w:tc>
        <w:tc>
          <w:tcPr>
            <w:tcW w:w="67" w:type="dxa"/>
            <w:tcBorders/>
            <w:shd w:fill="CCEEFF" w:val="clear"/>
            <w:vAlign w:val="bottom"/>
          </w:tcPr>
          <w:p>
            <w:pPr>
              <w:pStyle w:val="TableContents"/>
              <w:bidi w:val="0"/>
              <w:spacing w:before="0" w:after="283"/>
              <w:jc w:val="left"/>
              <w:rPr/>
            </w:pPr>
            <w:r>
              <w:rPr/>
              <w:t> </w:t>
            </w:r>
          </w:p>
        </w:tc>
      </w:tr>
      <w:tr>
        <w:trPr/>
        <w:tc>
          <w:tcPr>
            <w:tcW w:w="3870"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3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343,900</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(152,376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191,524</w:t>
            </w:r>
          </w:p>
        </w:tc>
        <w:tc>
          <w:tcPr>
            <w:tcW w:w="67" w:type="dxa"/>
            <w:tcBorders/>
            <w:vAlign w:val="bottom"/>
          </w:tcPr>
          <w:p>
            <w:pPr>
              <w:pStyle w:val="TableContents"/>
              <w:bidi w:val="0"/>
              <w:spacing w:before="0" w:after="283"/>
              <w:jc w:val="left"/>
              <w:rPr/>
            </w:pPr>
            <w:r>
              <w:rPr/>
              <w:t> </w:t>
            </w:r>
          </w:p>
        </w:tc>
      </w:tr>
      <w:tr>
        <w:trPr/>
        <w:tc>
          <w:tcPr>
            <w:tcW w:w="3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3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60,190</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(58,813</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1,377</w:t>
            </w:r>
          </w:p>
        </w:tc>
        <w:tc>
          <w:tcPr>
            <w:tcW w:w="67" w:type="dxa"/>
            <w:tcBorders/>
            <w:shd w:fill="CCEEFF" w:val="clear"/>
            <w:vAlign w:val="bottom"/>
          </w:tcPr>
          <w:p>
            <w:pPr>
              <w:pStyle w:val="TableContents"/>
              <w:bidi w:val="0"/>
              <w:spacing w:before="0" w:after="283"/>
              <w:jc w:val="left"/>
              <w:rPr/>
            </w:pPr>
            <w:r>
              <w:rPr/>
              <w:t> </w:t>
            </w:r>
          </w:p>
        </w:tc>
      </w:tr>
      <w:tr>
        <w:trPr/>
        <w:tc>
          <w:tcPr>
            <w:tcW w:w="3870"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3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11.0</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(33,803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92,197</w:t>
            </w:r>
          </w:p>
        </w:tc>
        <w:tc>
          <w:tcPr>
            <w:tcW w:w="67" w:type="dxa"/>
            <w:tcBorders/>
            <w:vAlign w:val="bottom"/>
          </w:tcPr>
          <w:p>
            <w:pPr>
              <w:pStyle w:val="TableContents"/>
              <w:bidi w:val="0"/>
              <w:spacing w:before="0" w:after="283"/>
              <w:jc w:val="left"/>
              <w:rPr/>
            </w:pPr>
            <w:r>
              <w:rPr/>
              <w:t> </w:t>
            </w:r>
          </w:p>
        </w:tc>
      </w:tr>
      <w:tr>
        <w:trPr/>
        <w:tc>
          <w:tcPr>
            <w:tcW w:w="387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4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4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650,760</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6" w:type="dxa"/>
            <w:tcBorders/>
            <w:shd w:fill="CCEEFF" w:val="clear"/>
            <w:vAlign w:val="bottom"/>
          </w:tcPr>
          <w:p>
            <w:pPr>
              <w:pStyle w:val="TableContents"/>
              <w:bidi w:val="0"/>
              <w:spacing w:before="0" w:after="283"/>
              <w:jc w:val="right"/>
              <w:rPr/>
            </w:pPr>
            <w:r>
              <w:rPr/>
              <w:t>(288,370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362,390</w:t>
            </w:r>
          </w:p>
        </w:tc>
        <w:tc>
          <w:tcPr>
            <w:tcW w:w="67" w:type="dxa"/>
            <w:tcBorders/>
            <w:shd w:fill="CCEEFF" w:val="clear"/>
            <w:vAlign w:val="bottom"/>
          </w:tcPr>
          <w:p>
            <w:pPr>
              <w:pStyle w:val="TableContents"/>
              <w:bidi w:val="0"/>
              <w:spacing w:before="0" w:after="283"/>
              <w:jc w:val="left"/>
              <w:rPr/>
            </w:pPr>
            <w:r>
              <w:rPr/>
              <w:t> </w:t>
            </w:r>
          </w:p>
        </w:tc>
      </w:tr>
      <w:tr>
        <w:trPr/>
        <w:tc>
          <w:tcPr>
            <w:tcW w:w="387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4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9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70"/>
        <w:gridCol w:w="219"/>
        <w:gridCol w:w="157"/>
        <w:gridCol w:w="922"/>
        <w:gridCol w:w="60"/>
        <w:gridCol w:w="219"/>
        <w:gridCol w:w="188"/>
        <w:gridCol w:w="1196"/>
        <w:gridCol w:w="155"/>
        <w:gridCol w:w="175"/>
        <w:gridCol w:w="157"/>
        <w:gridCol w:w="922"/>
        <w:gridCol w:w="65"/>
      </w:tblGrid>
      <w:tr>
        <w:trPr/>
        <w:tc>
          <w:tcPr>
            <w:tcW w:w="577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7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1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5" w:type="dxa"/>
            <w:tcBorders/>
            <w:vAlign w:val="bottom"/>
          </w:tcPr>
          <w:p>
            <w:pPr>
              <w:pStyle w:val="TableContents"/>
              <w:bidi w:val="0"/>
              <w:spacing w:before="0" w:after="283"/>
              <w:jc w:val="left"/>
              <w:rPr/>
            </w:pPr>
            <w:r>
              <w:rPr/>
              <w:t> </w:t>
            </w:r>
          </w:p>
        </w:tc>
      </w:tr>
      <w:tr>
        <w:trPr/>
        <w:tc>
          <w:tcPr>
            <w:tcW w:w="577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 Net</w:t>
            </w:r>
          </w:p>
        </w:tc>
        <w:tc>
          <w:tcPr>
            <w:tcW w:w="65" w:type="dxa"/>
            <w:tcBorders/>
            <w:vAlign w:val="bottom"/>
          </w:tcPr>
          <w:p>
            <w:pPr>
              <w:pStyle w:val="TableContents"/>
              <w:bidi w:val="0"/>
              <w:spacing w:before="0" w:after="283"/>
              <w:jc w:val="left"/>
              <w:rPr/>
            </w:pPr>
            <w:r>
              <w:rPr/>
              <w:t> </w:t>
            </w:r>
          </w:p>
        </w:tc>
      </w:tr>
      <w:tr>
        <w:trPr/>
        <w:tc>
          <w:tcPr>
            <w:tcW w:w="5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1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117,700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(33,089</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84,611</w:t>
            </w:r>
          </w:p>
        </w:tc>
        <w:tc>
          <w:tcPr>
            <w:tcW w:w="65" w:type="dxa"/>
            <w:tcBorders/>
            <w:shd w:fill="CCEEFF" w:val="clear"/>
            <w:vAlign w:val="bottom"/>
          </w:tcPr>
          <w:p>
            <w:pPr>
              <w:pStyle w:val="TableContents"/>
              <w:bidi w:val="0"/>
              <w:spacing w:before="0" w:after="283"/>
              <w:jc w:val="left"/>
              <w:rPr/>
            </w:pPr>
            <w:r>
              <w:rPr/>
              <w:t> </w:t>
            </w:r>
          </w:p>
        </w:tc>
      </w:tr>
      <w:tr>
        <w:trPr/>
        <w:tc>
          <w:tcPr>
            <w:tcW w:w="5770"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1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328,500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(115,130</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213,370</w:t>
            </w:r>
          </w:p>
        </w:tc>
        <w:tc>
          <w:tcPr>
            <w:tcW w:w="65" w:type="dxa"/>
            <w:tcBorders/>
            <w:vAlign w:val="bottom"/>
          </w:tcPr>
          <w:p>
            <w:pPr>
              <w:pStyle w:val="TableContents"/>
              <w:bidi w:val="0"/>
              <w:spacing w:before="0" w:after="283"/>
              <w:jc w:val="left"/>
              <w:rPr/>
            </w:pPr>
            <w:r>
              <w:rPr/>
              <w:t> </w:t>
            </w:r>
          </w:p>
        </w:tc>
      </w:tr>
      <w:tr>
        <w:trPr/>
        <w:tc>
          <w:tcPr>
            <w:tcW w:w="5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1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57,000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(57,000</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770"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1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(25,403</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100,597</w:t>
            </w:r>
          </w:p>
        </w:tc>
        <w:tc>
          <w:tcPr>
            <w:tcW w:w="65" w:type="dxa"/>
            <w:tcBorders/>
            <w:vAlign w:val="bottom"/>
          </w:tcPr>
          <w:p>
            <w:pPr>
              <w:pStyle w:val="TableContents"/>
              <w:bidi w:val="0"/>
              <w:spacing w:before="0" w:after="283"/>
              <w:jc w:val="left"/>
              <w:rPr/>
            </w:pPr>
            <w:r>
              <w:rPr/>
              <w:t> </w:t>
            </w:r>
          </w:p>
        </w:tc>
      </w:tr>
      <w:tr>
        <w:trPr/>
        <w:tc>
          <w:tcPr>
            <w:tcW w:w="577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629,200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6" w:type="dxa"/>
            <w:tcBorders/>
            <w:shd w:fill="CCEEFF" w:val="clear"/>
            <w:vAlign w:val="bottom"/>
          </w:tcPr>
          <w:p>
            <w:pPr>
              <w:pStyle w:val="TableContents"/>
              <w:bidi w:val="0"/>
              <w:spacing w:before="0" w:after="283"/>
              <w:jc w:val="right"/>
              <w:rPr/>
            </w:pPr>
            <w:r>
              <w:rPr/>
              <w:t>(230,622</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398,578</w:t>
            </w:r>
          </w:p>
        </w:tc>
        <w:tc>
          <w:tcPr>
            <w:tcW w:w="65" w:type="dxa"/>
            <w:tcBorders/>
            <w:shd w:fill="CCEEFF" w:val="clear"/>
            <w:vAlign w:val="bottom"/>
          </w:tcPr>
          <w:p>
            <w:pPr>
              <w:pStyle w:val="TableContents"/>
              <w:bidi w:val="0"/>
              <w:spacing w:before="0" w:after="283"/>
              <w:jc w:val="left"/>
              <w:rPr/>
            </w:pPr>
            <w:r>
              <w:rPr/>
              <w:t> </w:t>
            </w:r>
          </w:p>
        </w:tc>
      </w:tr>
      <w:tr>
        <w:trPr/>
        <w:tc>
          <w:tcPr>
            <w:tcW w:w="577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2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future aggregate amortization expense for finite-lived intangible assets as of December 31, 2025, is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24"/>
        <w:gridCol w:w="250"/>
        <w:gridCol w:w="140"/>
        <w:gridCol w:w="829"/>
        <w:gridCol w:w="62"/>
      </w:tblGrid>
      <w:tr>
        <w:trPr/>
        <w:tc>
          <w:tcPr>
            <w:tcW w:w="892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924" w:type="dxa"/>
            <w:tcBorders/>
            <w:vAlign w:val="bottom"/>
          </w:tcPr>
          <w:p>
            <w:pPr>
              <w:pStyle w:val="TableContents"/>
              <w:bidi w:val="0"/>
              <w:spacing w:before="0" w:after="283"/>
              <w:jc w:val="left"/>
              <w:rPr>
                <w:b/>
              </w:rPr>
            </w:pPr>
            <w:r>
              <w:rPr>
                <w:b/>
              </w:rPr>
              <w:t>Year Ending December 31:</w:t>
            </w:r>
          </w:p>
        </w:tc>
        <w:tc>
          <w:tcPr>
            <w:tcW w:w="250"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8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58,172</w:t>
            </w:r>
          </w:p>
        </w:tc>
        <w:tc>
          <w:tcPr>
            <w:tcW w:w="62" w:type="dxa"/>
            <w:tcBorders/>
            <w:shd w:fill="CCEEFF" w:val="clear"/>
            <w:vAlign w:val="bottom"/>
          </w:tcPr>
          <w:p>
            <w:pPr>
              <w:pStyle w:val="TableContents"/>
              <w:bidi w:val="0"/>
              <w:spacing w:before="0" w:after="283"/>
              <w:jc w:val="left"/>
              <w:rPr/>
            </w:pPr>
            <w:r>
              <w:rPr/>
              <w:t> </w:t>
            </w:r>
          </w:p>
        </w:tc>
      </w:tr>
      <w:tr>
        <w:trPr/>
        <w:tc>
          <w:tcPr>
            <w:tcW w:w="8924"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56,866</w:t>
            </w:r>
          </w:p>
        </w:tc>
        <w:tc>
          <w:tcPr>
            <w:tcW w:w="62" w:type="dxa"/>
            <w:tcBorders/>
            <w:vAlign w:val="bottom"/>
          </w:tcPr>
          <w:p>
            <w:pPr>
              <w:pStyle w:val="TableContents"/>
              <w:bidi w:val="0"/>
              <w:spacing w:before="0" w:after="283"/>
              <w:jc w:val="left"/>
              <w:rPr/>
            </w:pPr>
            <w:r>
              <w:rPr/>
              <w:t> </w:t>
            </w:r>
          </w:p>
        </w:tc>
      </w:tr>
      <w:tr>
        <w:trPr/>
        <w:tc>
          <w:tcPr>
            <w:tcW w:w="8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56,389</w:t>
            </w:r>
          </w:p>
        </w:tc>
        <w:tc>
          <w:tcPr>
            <w:tcW w:w="62" w:type="dxa"/>
            <w:tcBorders/>
            <w:shd w:fill="CCEEFF" w:val="clear"/>
            <w:vAlign w:val="bottom"/>
          </w:tcPr>
          <w:p>
            <w:pPr>
              <w:pStyle w:val="TableContents"/>
              <w:bidi w:val="0"/>
              <w:spacing w:before="0" w:after="283"/>
              <w:jc w:val="left"/>
              <w:rPr/>
            </w:pPr>
            <w:r>
              <w:rPr/>
              <w:t> </w:t>
            </w:r>
          </w:p>
        </w:tc>
      </w:tr>
      <w:tr>
        <w:trPr/>
        <w:tc>
          <w:tcPr>
            <w:tcW w:w="8924"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55,927</w:t>
            </w:r>
          </w:p>
        </w:tc>
        <w:tc>
          <w:tcPr>
            <w:tcW w:w="62" w:type="dxa"/>
            <w:tcBorders/>
            <w:vAlign w:val="bottom"/>
          </w:tcPr>
          <w:p>
            <w:pPr>
              <w:pStyle w:val="TableContents"/>
              <w:bidi w:val="0"/>
              <w:spacing w:before="0" w:after="283"/>
              <w:jc w:val="left"/>
              <w:rPr/>
            </w:pPr>
            <w:r>
              <w:rPr/>
              <w:t> </w:t>
            </w:r>
          </w:p>
        </w:tc>
      </w:tr>
      <w:tr>
        <w:trPr/>
        <w:tc>
          <w:tcPr>
            <w:tcW w:w="8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50,145</w:t>
            </w:r>
          </w:p>
        </w:tc>
        <w:tc>
          <w:tcPr>
            <w:tcW w:w="62" w:type="dxa"/>
            <w:tcBorders/>
            <w:shd w:fill="CCEEFF" w:val="clear"/>
            <w:vAlign w:val="bottom"/>
          </w:tcPr>
          <w:p>
            <w:pPr>
              <w:pStyle w:val="TableContents"/>
              <w:bidi w:val="0"/>
              <w:spacing w:before="0" w:after="283"/>
              <w:jc w:val="left"/>
              <w:rPr/>
            </w:pPr>
            <w:r>
              <w:rPr/>
              <w:t> </w:t>
            </w:r>
          </w:p>
        </w:tc>
      </w:tr>
      <w:tr>
        <w:trPr/>
        <w:tc>
          <w:tcPr>
            <w:tcW w:w="8924"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84,891</w:t>
            </w:r>
          </w:p>
        </w:tc>
        <w:tc>
          <w:tcPr>
            <w:tcW w:w="62" w:type="dxa"/>
            <w:tcBorders/>
            <w:vAlign w:val="bottom"/>
          </w:tcPr>
          <w:p>
            <w:pPr>
              <w:pStyle w:val="TableContents"/>
              <w:bidi w:val="0"/>
              <w:spacing w:before="0" w:after="283"/>
              <w:jc w:val="left"/>
              <w:rPr/>
            </w:pPr>
            <w:r>
              <w:rPr/>
              <w:t> </w:t>
            </w:r>
          </w:p>
        </w:tc>
      </w:tr>
      <w:tr>
        <w:trPr/>
        <w:tc>
          <w:tcPr>
            <w:tcW w:w="892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9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362,390</w:t>
            </w:r>
          </w:p>
        </w:tc>
        <w:tc>
          <w:tcPr>
            <w:tcW w:w="62" w:type="dxa"/>
            <w:tcBorders/>
            <w:shd w:fill="CCEEFF" w:val="clear"/>
            <w:vAlign w:val="bottom"/>
          </w:tcPr>
          <w:p>
            <w:pPr>
              <w:pStyle w:val="TableContents"/>
              <w:bidi w:val="0"/>
              <w:spacing w:before="0" w:after="283"/>
              <w:jc w:val="left"/>
              <w:rPr/>
            </w:pPr>
            <w:r>
              <w:rPr/>
              <w:t> </w:t>
            </w:r>
          </w:p>
        </w:tc>
      </w:tr>
      <w:tr>
        <w:trPr/>
        <w:tc>
          <w:tcPr>
            <w:tcW w:w="892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Debt obligations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5"/>
        <w:gridCol w:w="306"/>
        <w:gridCol w:w="148"/>
        <w:gridCol w:w="808"/>
        <w:gridCol w:w="158"/>
        <w:gridCol w:w="249"/>
        <w:gridCol w:w="148"/>
        <w:gridCol w:w="808"/>
        <w:gridCol w:w="165"/>
      </w:tblGrid>
      <w:tr>
        <w:trPr/>
        <w:tc>
          <w:tcPr>
            <w:tcW w:w="496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96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3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5" w:type="dxa"/>
            <w:tcBorders/>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r>
      <w:tr>
        <w:trPr/>
        <w:tc>
          <w:tcPr>
            <w:tcW w:w="4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0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397,128</w:t>
            </w:r>
          </w:p>
        </w:tc>
        <w:tc>
          <w:tcPr>
            <w:tcW w:w="1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369,017</w:t>
            </w:r>
          </w:p>
        </w:tc>
        <w:tc>
          <w:tcPr>
            <w:tcW w:w="165" w:type="dxa"/>
            <w:tcBorders/>
            <w:shd w:fill="CCEEFF" w:val="clear"/>
            <w:vAlign w:val="bottom"/>
          </w:tcPr>
          <w:p>
            <w:pPr>
              <w:pStyle w:val="TableContents"/>
              <w:bidi w:val="0"/>
              <w:spacing w:before="0" w:after="283"/>
              <w:jc w:val="left"/>
              <w:rPr/>
            </w:pPr>
            <w:r>
              <w:rPr/>
              <w:t> </w:t>
            </w:r>
          </w:p>
        </w:tc>
      </w:tr>
      <w:tr>
        <w:trPr/>
        <w:tc>
          <w:tcPr>
            <w:tcW w:w="4965"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(5,140</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(6,185</w:t>
            </w:r>
          </w:p>
        </w:tc>
        <w:tc>
          <w:tcPr>
            <w:tcW w:w="165" w:type="dxa"/>
            <w:tcBorders/>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30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391,988</w:t>
            </w:r>
          </w:p>
        </w:tc>
        <w:tc>
          <w:tcPr>
            <w:tcW w:w="1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362,832</w:t>
            </w:r>
          </w:p>
        </w:tc>
        <w:tc>
          <w:tcPr>
            <w:tcW w:w="165" w:type="dxa"/>
            <w:tcBorders/>
            <w:shd w:fill="CCEEFF" w:val="clear"/>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96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4,063</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3,737</w:t>
            </w:r>
          </w:p>
        </w:tc>
        <w:tc>
          <w:tcPr>
            <w:tcW w:w="165" w:type="dxa"/>
            <w:tcBorders/>
            <w:vAlign w:val="bottom"/>
          </w:tcPr>
          <w:p>
            <w:pPr>
              <w:pStyle w:val="TableContents"/>
              <w:bidi w:val="0"/>
              <w:spacing w:before="0" w:after="283"/>
              <w:jc w:val="left"/>
              <w:rPr/>
            </w:pPr>
            <w:r>
              <w:rPr/>
              <w:t> </w:t>
            </w:r>
          </w:p>
        </w:tc>
      </w:tr>
      <w:tr>
        <w:trPr/>
        <w:tc>
          <w:tcPr>
            <w:tcW w:w="4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306"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(1,565</w:t>
            </w:r>
          </w:p>
        </w:tc>
        <w:tc>
          <w:tcPr>
            <w:tcW w:w="15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(1,258</w:t>
            </w:r>
          </w:p>
        </w:tc>
        <w:tc>
          <w:tcPr>
            <w:tcW w:w="165" w:type="dxa"/>
            <w:tcBorders/>
            <w:shd w:fill="CCEEFF" w:val="clear"/>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96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2,498</w:t>
            </w:r>
          </w:p>
        </w:tc>
        <w:tc>
          <w:tcPr>
            <w:tcW w:w="15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2,479</w:t>
            </w:r>
          </w:p>
        </w:tc>
        <w:tc>
          <w:tcPr>
            <w:tcW w:w="165" w:type="dxa"/>
            <w:tcBorders/>
            <w:vAlign w:val="bottom"/>
          </w:tcPr>
          <w:p>
            <w:pPr>
              <w:pStyle w:val="TableContents"/>
              <w:bidi w:val="0"/>
              <w:spacing w:before="0" w:after="283"/>
              <w:jc w:val="left"/>
              <w:rPr/>
            </w:pPr>
            <w:r>
              <w:rPr/>
              <w:t> </w:t>
            </w:r>
          </w:p>
        </w:tc>
      </w:tr>
      <w:tr>
        <w:trPr/>
        <w:tc>
          <w:tcPr>
            <w:tcW w:w="496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Revolving Credit Facilities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CS Energy and SOLV Energy each maintained separate revolving credit facilities. </w:t>
      </w:r>
    </w:p>
    <w:p>
      <w:pPr>
        <w:pStyle w:val="TextBody"/>
        <w:bidi w:val="0"/>
        <w:spacing w:before="120" w:after="0"/>
        <w:jc w:val="left"/>
        <w:rPr>
          <w:rFonts w:ascii="Times New Roman" w:hAnsi="Times New Roman"/>
          <w:i/>
          <w:sz w:val="20"/>
        </w:rPr>
      </w:pPr>
      <w:r>
        <w:rPr>
          <w:rFonts w:ascii="Times New Roman" w:hAnsi="Times New Roman"/>
          <w:i/>
          <w:sz w:val="20"/>
        </w:rPr>
        <w:t xml:space="preserve">Legacy CS Energy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In May 2021, CS Energy entered into a $30,000 revolving credit facility, which was subsequently assigned to a new creditor in July 2022 (the “CS Revolving Facility”). The facility included a $25,000 letter of credit subfacility and was scheduled to mature in May 2026. Borrowings bore interest at variable rates based on LIBOR (subsequently transitioned to SOFR or an alternate base rate), plus an applicable margin, and were subject to customary commitment and letter of credit fees.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October 7, 2024, amounts under the CS Revolving Facility were fully settled and the facility was terminated. Accordingly, there were no outstanding borrowings or letters of credit under the facility at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SOLV Energy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SOLV Energy maintained a $60,000 revolving credit facility (the “Revolver”) maturing in December 2025. The facility provided for borrowings at variable rates based on SOFR or alternate base rate options, plus an applicable margin, and included a commitment fee on unused amounts.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Company amended the Revolver (the “Amended Revolver”) to increase the borrowing to $90,000. There were no changes to the lenders under the Amended Revolver.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on the Amended Revolver is, at the Company’s option, the highest of (a) the Federal Funds Effective Rate, as defined in the Amended Revolver agreement, plus 0.50%, (b) the Prime Rate, as defined in the Amended Revolver agreement, or (c) the Term SOFR, as defined in the Amended Revolver agreement for a one-month tenor (not less than the applicable floor) plus 1.00%.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$11,183 of letters of credit issued and outstanding under the Amended Revolver as of December 31, 2025. The Amended Revolver matures on October 7,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Credit Agreements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CS Energy and SOLV Energy each maintained separate term credit agreements. </w:t>
      </w:r>
    </w:p>
    <w:p>
      <w:pPr>
        <w:pStyle w:val="TextBody"/>
        <w:bidi w:val="0"/>
        <w:spacing w:before="120" w:after="0"/>
        <w:jc w:val="left"/>
        <w:rPr>
          <w:rFonts w:ascii="Times New Roman" w:hAnsi="Times New Roman"/>
          <w:i/>
          <w:sz w:val="20"/>
        </w:rPr>
      </w:pPr>
      <w:r>
        <w:rPr>
          <w:rFonts w:ascii="Times New Roman" w:hAnsi="Times New Roman"/>
          <w:i/>
          <w:sz w:val="20"/>
        </w:rPr>
        <w:t xml:space="preserve">Legacy CS Energy Term Loan </w:t>
      </w:r>
    </w:p>
    <w:p>
      <w:pPr>
        <w:pStyle w:val="TextBody"/>
        <w:bidi w:val="0"/>
        <w:spacing w:before="120" w:after="0"/>
        <w:jc w:val="left"/>
        <w:rPr>
          <w:rFonts w:ascii="Times New Roman" w:hAnsi="Times New Roman"/>
          <w:sz w:val="20"/>
        </w:rPr>
      </w:pPr>
      <w:r>
        <w:rPr>
          <w:rFonts w:ascii="Times New Roman" w:hAnsi="Times New Roman"/>
          <w:sz w:val="20"/>
        </w:rPr>
        <w:t xml:space="preserve">In May 2021, CS Energy entered into a $125,000 term loan agreement. The loan bore interest at variable rates based on LIBOR (subsequently transitioned to Term SOFR in 2023) plus an applicable margin of 6.5%. </w:t>
      </w:r>
    </w:p>
    <w:p>
      <w:pPr>
        <w:pStyle w:val="TextBody"/>
        <w:bidi w:val="0"/>
        <w:spacing w:before="240" w:after="0"/>
        <w:jc w:val="left"/>
        <w:rPr>
          <w:rFonts w:ascii="Times New Roman" w:hAnsi="Times New Roman"/>
          <w:sz w:val="20"/>
        </w:rPr>
      </w:pPr>
      <w:r>
        <w:rPr>
          <w:rFonts w:ascii="Times New Roman" w:hAnsi="Times New Roman"/>
          <w:sz w:val="20"/>
        </w:rPr>
        <w:t xml:space="preserve">The facility required quarterly principal payments equal to 0.25% of the original principal balance, with a balloon payment due at maturity in May 2027. The agreement also required annual mandatory prepayments based on excess cash flow, as defined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CS Energy Term Loan was fully repaid. The Company recorded a loss on extinguishment of $1,379 during the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SOLV Energy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in 2021, SOLV Energy entered into a term credit agreement (the “Original Credit Agreement”) providing for a $275,000 term loan. The loan required fixed quarterly principal payments beginning in March 2022, with a balloon payment due in December 2027. Borrowings bore interest at variable rates based on SOFR or alternate base rate options, plus an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Company amended the Original Credit Agreement to increase the borrowing to $373,700 (the “Amended Credit Agreement”). As a result of the amendment, certain lenders under the Original Credit Agreement are no longer participants of the Amended Credit Agreement and new lenders joined the Amended Credit Agreement. The Company accounted for the Amended Credit Agreement as a debt modification or extinguishment on a lender-by-lender basis in accordance with applicable accounting guidance and recorded a $3,019 loss for the year ended December 31, 2024 in “Loss on debt extinguishment” on the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Amended Credit Agreement is based on the one-month term SOFR plus a spread, as elected by the Company. Amounts borrowed under the Amended Credit Agreement will amortize in equal quarterly installments, with aggregate annual payments equal to 1.00% of the original principal amount, and the remaining balance payable upon maturity. The Amended Credit Agreement matures on October 7, 2029 and is secured by substantially all of the assets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2025, the Company borrowed an additional $32,500 on its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in accordance with the Amended Credit Agreement, the Company paid four quarterly principal payments of $1,016 and interest payments of $41,801 with an interest rate of 10.58%.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future principal payments required under the Amended Credit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75"/>
        <w:gridCol w:w="353"/>
        <w:gridCol w:w="147"/>
        <w:gridCol w:w="803"/>
        <w:gridCol w:w="161"/>
      </w:tblGrid>
      <w:tr>
        <w:trPr/>
        <w:tc>
          <w:tcPr>
            <w:tcW w:w="5475"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5" w:type="dxa"/>
            <w:tcBorders/>
            <w:vAlign w:val="bottom"/>
          </w:tcPr>
          <w:p>
            <w:pPr>
              <w:pStyle w:val="TableContents"/>
              <w:bidi w:val="0"/>
              <w:spacing w:before="0" w:after="283"/>
              <w:jc w:val="left"/>
              <w:rPr>
                <w:b/>
              </w:rPr>
            </w:pPr>
            <w:r>
              <w:rPr>
                <w:b/>
              </w:rPr>
              <w:t>Year Ending December 31:</w:t>
            </w:r>
          </w:p>
        </w:tc>
        <w:tc>
          <w:tcPr>
            <w:tcW w:w="353"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5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4,063</w:t>
            </w:r>
          </w:p>
        </w:tc>
        <w:tc>
          <w:tcPr>
            <w:tcW w:w="161" w:type="dxa"/>
            <w:tcBorders/>
            <w:shd w:fill="CCEEFF" w:val="clear"/>
            <w:vAlign w:val="bottom"/>
          </w:tcPr>
          <w:p>
            <w:pPr>
              <w:pStyle w:val="TableContents"/>
              <w:bidi w:val="0"/>
              <w:spacing w:before="0" w:after="283"/>
              <w:jc w:val="left"/>
              <w:rPr/>
            </w:pPr>
            <w:r>
              <w:rPr/>
              <w:t> </w:t>
            </w:r>
          </w:p>
        </w:tc>
      </w:tr>
      <w:tr>
        <w:trPr/>
        <w:tc>
          <w:tcPr>
            <w:tcW w:w="5475"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4,063</w:t>
            </w:r>
          </w:p>
        </w:tc>
        <w:tc>
          <w:tcPr>
            <w:tcW w:w="161" w:type="dxa"/>
            <w:tcBorders/>
            <w:vAlign w:val="bottom"/>
          </w:tcPr>
          <w:p>
            <w:pPr>
              <w:pStyle w:val="TableContents"/>
              <w:bidi w:val="0"/>
              <w:spacing w:before="0" w:after="283"/>
              <w:jc w:val="left"/>
              <w:rPr/>
            </w:pPr>
            <w:r>
              <w:rPr/>
              <w:t> </w:t>
            </w:r>
          </w:p>
        </w:tc>
      </w:tr>
      <w:tr>
        <w:trPr/>
        <w:tc>
          <w:tcPr>
            <w:tcW w:w="5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4,063</w:t>
            </w:r>
          </w:p>
        </w:tc>
        <w:tc>
          <w:tcPr>
            <w:tcW w:w="161" w:type="dxa"/>
            <w:tcBorders/>
            <w:shd w:fill="CCEEFF" w:val="clear"/>
            <w:vAlign w:val="bottom"/>
          </w:tcPr>
          <w:p>
            <w:pPr>
              <w:pStyle w:val="TableContents"/>
              <w:bidi w:val="0"/>
              <w:spacing w:before="0" w:after="283"/>
              <w:jc w:val="left"/>
              <w:rPr/>
            </w:pPr>
            <w:r>
              <w:rPr/>
              <w:t> </w:t>
            </w:r>
          </w:p>
        </w:tc>
      </w:tr>
      <w:tr>
        <w:trPr/>
        <w:tc>
          <w:tcPr>
            <w:tcW w:w="5475"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389,002</w:t>
            </w:r>
          </w:p>
        </w:tc>
        <w:tc>
          <w:tcPr>
            <w:tcW w:w="161" w:type="dxa"/>
            <w:tcBorders/>
            <w:vAlign w:val="bottom"/>
          </w:tcPr>
          <w:p>
            <w:pPr>
              <w:pStyle w:val="TableContents"/>
              <w:bidi w:val="0"/>
              <w:spacing w:before="0" w:after="283"/>
              <w:jc w:val="left"/>
              <w:rPr/>
            </w:pPr>
            <w:r>
              <w:rPr/>
              <w:t> </w:t>
            </w:r>
          </w:p>
        </w:tc>
      </w:tr>
      <w:tr>
        <w:trPr/>
        <w:tc>
          <w:tcPr>
            <w:tcW w:w="5475"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75" w:type="dxa"/>
            <w:tcBorders/>
            <w:shd w:fill="CCEEFF" w:val="clear"/>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401,191</w:t>
            </w:r>
          </w:p>
        </w:tc>
        <w:tc>
          <w:tcPr>
            <w:tcW w:w="161" w:type="dxa"/>
            <w:tcBorders/>
            <w:shd w:fill="CCEEFF" w:val="clear"/>
            <w:vAlign w:val="bottom"/>
          </w:tcPr>
          <w:p>
            <w:pPr>
              <w:pStyle w:val="TableContents"/>
              <w:bidi w:val="0"/>
              <w:spacing w:before="0" w:after="283"/>
              <w:jc w:val="left"/>
              <w:rPr/>
            </w:pPr>
            <w:r>
              <w:rPr/>
              <w:t> </w:t>
            </w:r>
          </w:p>
        </w:tc>
      </w:tr>
      <w:tr>
        <w:trPr/>
        <w:tc>
          <w:tcPr>
            <w:tcW w:w="5475"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(6,705</w:t>
            </w:r>
          </w:p>
        </w:tc>
        <w:tc>
          <w:tcPr>
            <w:tcW w:w="161" w:type="dxa"/>
            <w:tcBorders/>
            <w:vAlign w:val="bottom"/>
          </w:tcPr>
          <w:p>
            <w:pPr>
              <w:pStyle w:val="TableContents"/>
              <w:bidi w:val="0"/>
              <w:spacing w:before="0" w:after="283"/>
              <w:jc w:val="left"/>
              <w:rPr/>
            </w:pPr>
            <w:r>
              <w:rPr/>
              <w:t>) </w:t>
            </w:r>
          </w:p>
        </w:tc>
      </w:tr>
      <w:tr>
        <w:trPr/>
        <w:tc>
          <w:tcPr>
            <w:tcW w:w="5475"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394,486</w:t>
            </w:r>
          </w:p>
        </w:tc>
        <w:tc>
          <w:tcPr>
            <w:tcW w:w="161" w:type="dxa"/>
            <w:tcBorders/>
            <w:shd w:fill="CCEEFF" w:val="clear"/>
            <w:vAlign w:val="bottom"/>
          </w:tcPr>
          <w:p>
            <w:pPr>
              <w:pStyle w:val="TableContents"/>
              <w:bidi w:val="0"/>
              <w:spacing w:before="0" w:after="283"/>
              <w:jc w:val="left"/>
              <w:rPr/>
            </w:pPr>
            <w:r>
              <w:rPr/>
              <w:t> </w:t>
            </w:r>
          </w:p>
        </w:tc>
      </w:tr>
      <w:tr>
        <w:trPr/>
        <w:tc>
          <w:tcPr>
            <w:tcW w:w="5475"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13, 2025 and December 16, 2025, the lenders to the Amended Revolver and Amended Credit Agreement (the “Agreements”), respectively, agreed to waive any potential defaults that may have occurred under the Agreements as a result of the restatement of the Company’s previously issued consolidated financial statements for the years ended December 31, 2024,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In 2023, the Company entered into an equipment financing transaction with a specialized equipment finance provider to borrow approximately $25,000 against construction equipment owned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proceeds from the transaction were recognized as a financing liability, with subsequent payments being allocated between interest expense and reduction of the financing liability. </w:t>
      </w:r>
    </w:p>
    <w:p>
      <w:pPr>
        <w:pStyle w:val="TextBody"/>
        <w:bidi w:val="0"/>
        <w:spacing w:before="240" w:after="0"/>
        <w:jc w:val="left"/>
        <w:rPr>
          <w:rFonts w:ascii="Times New Roman" w:hAnsi="Times New Roman"/>
          <w:sz w:val="20"/>
        </w:rPr>
      </w:pPr>
      <w:r>
        <w:rPr>
          <w:rFonts w:ascii="Times New Roman" w:hAnsi="Times New Roman"/>
          <w:sz w:val="20"/>
        </w:rPr>
        <w:t xml:space="preserve">The underlying financing agreements comprising the financing liability are 72-month terms ending in 2029. For the twelve months ended December 31, 2025, the equipment financing transaction had an implicit interest rate of approximately 12%. </w:t>
      </w:r>
    </w:p>
    <w:p>
      <w:pPr>
        <w:pStyle w:val="TextBody"/>
        <w:bidi w:val="0"/>
        <w:spacing w:before="240" w:after="0"/>
        <w:jc w:val="left"/>
        <w:rPr>
          <w:rFonts w:ascii="Times New Roman" w:hAnsi="Times New Roman"/>
          <w:sz w:val="20"/>
        </w:rPr>
      </w:pPr>
      <w:r>
        <w:rPr>
          <w:rFonts w:ascii="Times New Roman" w:hAnsi="Times New Roman"/>
          <w:sz w:val="20"/>
        </w:rPr>
        <w:t>Additionally, in connection with SDI acquisition, SDI and the Company entered into an equipment financing transaction with a specialized equipment finance provider to borrow approximately $14,500 against construction equipment owned by SDI. The proceeds were used to fund the closing payment on the acquisition date. The underlying financing agreement has a 60-month term ending in 2030. For the year-ended December 31, 2025, the equipment financing transaction related to the SDI acquisition had an implicit interest rate of approximately 14%. For more information on the SDI acquisition, see Note 15—</w:t>
      </w:r>
      <w:r>
        <w:rPr>
          <w:rFonts w:ascii="Times New Roman" w:hAnsi="Times New Roman"/>
          <w:i/>
          <w:sz w:val="20"/>
        </w:rPr>
        <w:t>Business Combinations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future principal payments required by the equipment financing arrangement: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6"/>
        <w:gridCol w:w="358"/>
        <w:gridCol w:w="142"/>
        <w:gridCol w:w="700"/>
        <w:gridCol w:w="63"/>
      </w:tblGrid>
      <w:tr>
        <w:trPr/>
        <w:tc>
          <w:tcPr>
            <w:tcW w:w="567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6" w:type="dxa"/>
            <w:tcBorders/>
            <w:vAlign w:val="bottom"/>
          </w:tcPr>
          <w:p>
            <w:pPr>
              <w:pStyle w:val="TableContents"/>
              <w:bidi w:val="0"/>
              <w:spacing w:before="0" w:after="283"/>
              <w:jc w:val="left"/>
              <w:rPr>
                <w:b/>
              </w:rPr>
            </w:pPr>
            <w:r>
              <w:rPr>
                <w:b/>
              </w:rPr>
              <w:t>Year Ending December 31:</w:t>
            </w:r>
          </w:p>
        </w:tc>
        <w:tc>
          <w:tcPr>
            <w:tcW w:w="358"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5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6,526</w:t>
            </w:r>
          </w:p>
        </w:tc>
        <w:tc>
          <w:tcPr>
            <w:tcW w:w="63" w:type="dxa"/>
            <w:tcBorders/>
            <w:shd w:fill="CCEEFF" w:val="clear"/>
            <w:vAlign w:val="bottom"/>
          </w:tcPr>
          <w:p>
            <w:pPr>
              <w:pStyle w:val="TableContents"/>
              <w:bidi w:val="0"/>
              <w:spacing w:before="0" w:after="283"/>
              <w:jc w:val="left"/>
              <w:rPr/>
            </w:pPr>
            <w:r>
              <w:rPr/>
              <w:t> </w:t>
            </w:r>
          </w:p>
        </w:tc>
      </w:tr>
      <w:tr>
        <w:trPr/>
        <w:tc>
          <w:tcPr>
            <w:tcW w:w="567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5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7,279</w:t>
            </w:r>
          </w:p>
        </w:tc>
        <w:tc>
          <w:tcPr>
            <w:tcW w:w="63" w:type="dxa"/>
            <w:tcBorders/>
            <w:vAlign w:val="bottom"/>
          </w:tcPr>
          <w:p>
            <w:pPr>
              <w:pStyle w:val="TableContents"/>
              <w:bidi w:val="0"/>
              <w:spacing w:before="0" w:after="283"/>
              <w:jc w:val="left"/>
              <w:rPr/>
            </w:pPr>
            <w:r>
              <w:rPr/>
              <w:t> </w:t>
            </w:r>
          </w:p>
        </w:tc>
      </w:tr>
      <w:tr>
        <w:trPr/>
        <w:tc>
          <w:tcPr>
            <w:tcW w:w="5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5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8,004</w:t>
            </w:r>
          </w:p>
        </w:tc>
        <w:tc>
          <w:tcPr>
            <w:tcW w:w="63" w:type="dxa"/>
            <w:tcBorders/>
            <w:shd w:fill="CCEEFF" w:val="clear"/>
            <w:vAlign w:val="bottom"/>
          </w:tcPr>
          <w:p>
            <w:pPr>
              <w:pStyle w:val="TableContents"/>
              <w:bidi w:val="0"/>
              <w:spacing w:before="0" w:after="283"/>
              <w:jc w:val="left"/>
              <w:rPr/>
            </w:pPr>
            <w:r>
              <w:rPr/>
              <w:t> </w:t>
            </w:r>
          </w:p>
        </w:tc>
      </w:tr>
      <w:tr>
        <w:trPr/>
        <w:tc>
          <w:tcPr>
            <w:tcW w:w="567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5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5,689</w:t>
            </w:r>
          </w:p>
        </w:tc>
        <w:tc>
          <w:tcPr>
            <w:tcW w:w="63" w:type="dxa"/>
            <w:tcBorders/>
            <w:vAlign w:val="bottom"/>
          </w:tcPr>
          <w:p>
            <w:pPr>
              <w:pStyle w:val="TableContents"/>
              <w:bidi w:val="0"/>
              <w:spacing w:before="0" w:after="283"/>
              <w:jc w:val="left"/>
              <w:rPr/>
            </w:pPr>
            <w:r>
              <w:rPr/>
              <w:t> </w:t>
            </w:r>
          </w:p>
        </w:tc>
      </w:tr>
      <w:tr>
        <w:trPr/>
        <w:tc>
          <w:tcPr>
            <w:tcW w:w="5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5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345</w:t>
            </w:r>
          </w:p>
        </w:tc>
        <w:tc>
          <w:tcPr>
            <w:tcW w:w="63" w:type="dxa"/>
            <w:tcBorders/>
            <w:shd w:fill="CCEEFF" w:val="clear"/>
            <w:vAlign w:val="bottom"/>
          </w:tcPr>
          <w:p>
            <w:pPr>
              <w:pStyle w:val="TableContents"/>
              <w:bidi w:val="0"/>
              <w:spacing w:before="0" w:after="283"/>
              <w:jc w:val="left"/>
              <w:rPr/>
            </w:pPr>
            <w:r>
              <w:rPr/>
              <w:t> </w:t>
            </w:r>
          </w:p>
        </w:tc>
      </w:tr>
      <w:tr>
        <w:trPr/>
        <w:tc>
          <w:tcPr>
            <w:tcW w:w="567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27,843</w:t>
            </w:r>
          </w:p>
        </w:tc>
        <w:tc>
          <w:tcPr>
            <w:tcW w:w="63" w:type="dxa"/>
            <w:tcBorders/>
            <w:vAlign w:val="bottom"/>
          </w:tcPr>
          <w:p>
            <w:pPr>
              <w:pStyle w:val="TableContents"/>
              <w:bidi w:val="0"/>
              <w:spacing w:before="0" w:after="283"/>
              <w:jc w:val="left"/>
              <w:rPr/>
            </w:pPr>
            <w:r>
              <w:rPr/>
              <w:t> </w:t>
            </w:r>
          </w:p>
        </w:tc>
      </w:tr>
      <w:tr>
        <w:trPr/>
        <w:tc>
          <w:tcPr>
            <w:tcW w:w="567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a lessee in non-cancelable leasing agreements for office buildings and vehicles. Substantially all the Company’s office building leases are operating leases, and its vehicle leases are finance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components of lease expenses for operating and finance leases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22"/>
        <w:gridCol w:w="260"/>
        <w:gridCol w:w="140"/>
        <w:gridCol w:w="689"/>
        <w:gridCol w:w="60"/>
        <w:gridCol w:w="260"/>
        <w:gridCol w:w="140"/>
        <w:gridCol w:w="689"/>
        <w:gridCol w:w="60"/>
        <w:gridCol w:w="260"/>
        <w:gridCol w:w="140"/>
        <w:gridCol w:w="689"/>
        <w:gridCol w:w="63"/>
      </w:tblGrid>
      <w:tr>
        <w:trPr/>
        <w:tc>
          <w:tcPr>
            <w:tcW w:w="512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312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3,043</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2,552</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2,163</w:t>
            </w:r>
          </w:p>
        </w:tc>
        <w:tc>
          <w:tcPr>
            <w:tcW w:w="63"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expense</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64,894</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53,645</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66,673</w:t>
            </w:r>
          </w:p>
        </w:tc>
        <w:tc>
          <w:tcPr>
            <w:tcW w:w="63"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expense</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67,937</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56,197</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68,836</w:t>
            </w:r>
          </w:p>
        </w:tc>
        <w:tc>
          <w:tcPr>
            <w:tcW w:w="63"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on assets under finance lease</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9,626</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6,279</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4,007</w:t>
            </w:r>
          </w:p>
        </w:tc>
        <w:tc>
          <w:tcPr>
            <w:tcW w:w="63"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finance lease liabilities</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2,045</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1,424</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865</w:t>
            </w:r>
          </w:p>
        </w:tc>
        <w:tc>
          <w:tcPr>
            <w:tcW w:w="63"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finance lease expense</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11,671</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7,703</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4,872</w:t>
            </w:r>
          </w:p>
        </w:tc>
        <w:tc>
          <w:tcPr>
            <w:tcW w:w="63"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majority of the Company’s short-term leases relate to equipment used on construction projects. These leases are entered into at periodic rental rates for an unspecified duration and typically have a termination for convenience provision. </w:t>
      </w:r>
    </w:p>
    <w:p>
      <w:pPr>
        <w:pStyle w:val="TextBody"/>
        <w:bidi w:val="0"/>
        <w:spacing w:before="240" w:after="0"/>
        <w:jc w:val="left"/>
        <w:rPr>
          <w:rFonts w:ascii="Times New Roman" w:hAnsi="Times New Roman"/>
          <w:sz w:val="20"/>
        </w:rPr>
      </w:pPr>
      <w:r>
        <w:rPr>
          <w:rFonts w:ascii="Times New Roman" w:hAnsi="Times New Roman"/>
          <w:sz w:val="20"/>
        </w:rPr>
        <w:t xml:space="preserve">Supplemental information on operating and finance leases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34"/>
        <w:gridCol w:w="314"/>
        <w:gridCol w:w="149"/>
        <w:gridCol w:w="731"/>
        <w:gridCol w:w="63"/>
        <w:gridCol w:w="319"/>
        <w:gridCol w:w="149"/>
        <w:gridCol w:w="734"/>
        <w:gridCol w:w="62"/>
      </w:tblGrid>
      <w:tr>
        <w:trPr/>
        <w:tc>
          <w:tcPr>
            <w:tcW w:w="5234"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2" w:type="dxa"/>
            <w:tcBorders/>
            <w:vAlign w:val="bottom"/>
          </w:tcPr>
          <w:p>
            <w:pPr>
              <w:pStyle w:val="TableContents"/>
              <w:bidi w:val="0"/>
              <w:spacing w:before="0" w:after="283"/>
              <w:jc w:val="left"/>
              <w:rPr/>
            </w:pPr>
            <w:r>
              <w:rPr/>
              <w:t> </w:t>
            </w:r>
          </w:p>
        </w:tc>
      </w:tr>
      <w:tr>
        <w:trPr/>
        <w:tc>
          <w:tcPr>
            <w:tcW w:w="5234"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31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2,112</w:t>
            </w:r>
          </w:p>
        </w:tc>
        <w:tc>
          <w:tcPr>
            <w:tcW w:w="6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1,950</w:t>
            </w:r>
          </w:p>
        </w:tc>
        <w:tc>
          <w:tcPr>
            <w:tcW w:w="62" w:type="dxa"/>
            <w:tcBorders/>
            <w:shd w:fill="CCEEFF" w:val="clear"/>
            <w:vAlign w:val="bottom"/>
          </w:tcPr>
          <w:p>
            <w:pPr>
              <w:pStyle w:val="TableContents"/>
              <w:bidi w:val="0"/>
              <w:spacing w:before="0" w:after="283"/>
              <w:jc w:val="left"/>
              <w:rPr/>
            </w:pPr>
            <w:r>
              <w:rPr/>
              <w:t> </w:t>
            </w:r>
          </w:p>
        </w:tc>
      </w:tr>
      <w:tr>
        <w:trPr/>
        <w:tc>
          <w:tcPr>
            <w:tcW w:w="5234" w:type="dxa"/>
            <w:tcBorders/>
          </w:tcPr>
          <w:p>
            <w:pPr>
              <w:pStyle w:val="TableContents"/>
              <w:bidi w:val="0"/>
              <w:spacing w:before="0" w:after="0"/>
              <w:jc w:val="left"/>
              <w:rPr>
                <w:rFonts w:ascii="Times New Roman" w:hAnsi="Times New Roman"/>
                <w:sz w:val="20"/>
              </w:rPr>
            </w:pPr>
            <w:r>
              <w:rPr>
                <w:rFonts w:ascii="Times New Roman" w:hAnsi="Times New Roman"/>
                <w:sz w:val="20"/>
              </w:rPr>
              <w:t>Long-term portion of operating lease liabilities</w:t>
            </w:r>
          </w:p>
        </w:tc>
        <w:tc>
          <w:tcPr>
            <w:tcW w:w="31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6,584</w:t>
            </w:r>
          </w:p>
        </w:tc>
        <w:tc>
          <w:tcPr>
            <w:tcW w:w="6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6,864</w:t>
            </w:r>
          </w:p>
        </w:tc>
        <w:tc>
          <w:tcPr>
            <w:tcW w:w="62" w:type="dxa"/>
            <w:tcBorders/>
            <w:vAlign w:val="bottom"/>
          </w:tcPr>
          <w:p>
            <w:pPr>
              <w:pStyle w:val="TableContents"/>
              <w:bidi w:val="0"/>
              <w:spacing w:before="0" w:after="283"/>
              <w:jc w:val="left"/>
              <w:rPr/>
            </w:pPr>
            <w:r>
              <w:rPr/>
              <w:t> </w:t>
            </w:r>
          </w:p>
        </w:tc>
      </w:tr>
      <w:tr>
        <w:trPr/>
        <w:tc>
          <w:tcPr>
            <w:tcW w:w="523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31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8,696</w:t>
            </w:r>
          </w:p>
        </w:tc>
        <w:tc>
          <w:tcPr>
            <w:tcW w:w="6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8,814</w:t>
            </w:r>
          </w:p>
        </w:tc>
        <w:tc>
          <w:tcPr>
            <w:tcW w:w="62" w:type="dxa"/>
            <w:tcBorders/>
            <w:shd w:fill="CCEEFF" w:val="clear"/>
            <w:vAlign w:val="bottom"/>
          </w:tcPr>
          <w:p>
            <w:pPr>
              <w:pStyle w:val="TableContents"/>
              <w:bidi w:val="0"/>
              <w:spacing w:before="0" w:after="283"/>
              <w:jc w:val="left"/>
              <w:rPr/>
            </w:pPr>
            <w:r>
              <w:rPr/>
              <w:t> </w:t>
            </w:r>
          </w:p>
        </w:tc>
      </w:tr>
      <w:tr>
        <w:trPr/>
        <w:tc>
          <w:tcPr>
            <w:tcW w:w="523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34"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liabilities</w:t>
            </w:r>
          </w:p>
        </w:tc>
        <w:tc>
          <w:tcPr>
            <w:tcW w:w="31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1" w:type="dxa"/>
            <w:tcBorders/>
            <w:vAlign w:val="bottom"/>
          </w:tcPr>
          <w:p>
            <w:pPr>
              <w:pStyle w:val="TableContents"/>
              <w:bidi w:val="0"/>
              <w:spacing w:before="0" w:after="283"/>
              <w:jc w:val="right"/>
              <w:rPr/>
            </w:pPr>
            <w:r>
              <w:rPr/>
              <w:t>10,866</w:t>
            </w:r>
          </w:p>
        </w:tc>
        <w:tc>
          <w:tcPr>
            <w:tcW w:w="6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7,609</w:t>
            </w:r>
          </w:p>
        </w:tc>
        <w:tc>
          <w:tcPr>
            <w:tcW w:w="62" w:type="dxa"/>
            <w:tcBorders/>
            <w:vAlign w:val="bottom"/>
          </w:tcPr>
          <w:p>
            <w:pPr>
              <w:pStyle w:val="TableContents"/>
              <w:bidi w:val="0"/>
              <w:spacing w:before="0" w:after="283"/>
              <w:jc w:val="left"/>
              <w:rPr/>
            </w:pPr>
            <w:r>
              <w:rPr/>
              <w:t> </w:t>
            </w:r>
          </w:p>
        </w:tc>
      </w:tr>
      <w:tr>
        <w:trPr/>
        <w:tc>
          <w:tcPr>
            <w:tcW w:w="5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portion of finance lease liabilities</w:t>
            </w:r>
          </w:p>
        </w:tc>
        <w:tc>
          <w:tcPr>
            <w:tcW w:w="314"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29,975</w:t>
            </w:r>
          </w:p>
        </w:tc>
        <w:tc>
          <w:tcPr>
            <w:tcW w:w="63"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21,150</w:t>
            </w:r>
          </w:p>
        </w:tc>
        <w:tc>
          <w:tcPr>
            <w:tcW w:w="62" w:type="dxa"/>
            <w:tcBorders/>
            <w:shd w:fill="CCEEFF" w:val="clear"/>
            <w:vAlign w:val="bottom"/>
          </w:tcPr>
          <w:p>
            <w:pPr>
              <w:pStyle w:val="TableContents"/>
              <w:bidi w:val="0"/>
              <w:spacing w:before="0" w:after="283"/>
              <w:jc w:val="left"/>
              <w:rPr/>
            </w:pPr>
            <w:r>
              <w:rPr/>
              <w:t> </w:t>
            </w:r>
          </w:p>
        </w:tc>
      </w:tr>
      <w:tr>
        <w:trPr/>
        <w:tc>
          <w:tcPr>
            <w:tcW w:w="523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34"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finance lease liabilities</w:t>
            </w:r>
          </w:p>
        </w:tc>
        <w:tc>
          <w:tcPr>
            <w:tcW w:w="314"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1" w:type="dxa"/>
            <w:tcBorders/>
            <w:vAlign w:val="bottom"/>
          </w:tcPr>
          <w:p>
            <w:pPr>
              <w:pStyle w:val="TableContents"/>
              <w:bidi w:val="0"/>
              <w:spacing w:before="0" w:after="283"/>
              <w:jc w:val="right"/>
              <w:rPr/>
            </w:pPr>
            <w:r>
              <w:rPr/>
              <w:t>40,841</w:t>
            </w:r>
          </w:p>
        </w:tc>
        <w:tc>
          <w:tcPr>
            <w:tcW w:w="63"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28,759</w:t>
            </w:r>
          </w:p>
        </w:tc>
        <w:tc>
          <w:tcPr>
            <w:tcW w:w="62" w:type="dxa"/>
            <w:tcBorders/>
            <w:vAlign w:val="bottom"/>
          </w:tcPr>
          <w:p>
            <w:pPr>
              <w:pStyle w:val="TableContents"/>
              <w:bidi w:val="0"/>
              <w:spacing w:before="0" w:after="283"/>
              <w:jc w:val="left"/>
              <w:rPr/>
            </w:pPr>
            <w:r>
              <w:rPr/>
              <w:t> </w:t>
            </w:r>
          </w:p>
        </w:tc>
      </w:tr>
      <w:tr>
        <w:trPr/>
        <w:tc>
          <w:tcPr>
            <w:tcW w:w="5234"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78"/>
        <w:gridCol w:w="403"/>
        <w:gridCol w:w="87"/>
        <w:gridCol w:w="639"/>
        <w:gridCol w:w="417"/>
        <w:gridCol w:w="324"/>
        <w:gridCol w:w="87"/>
        <w:gridCol w:w="641"/>
        <w:gridCol w:w="279"/>
      </w:tblGrid>
      <w:tr>
        <w:trPr/>
        <w:tc>
          <w:tcPr>
            <w:tcW w:w="4878"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878"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79" w:type="dxa"/>
            <w:tcBorders/>
            <w:vAlign w:val="bottom"/>
          </w:tcPr>
          <w:p>
            <w:pPr>
              <w:pStyle w:val="TableContents"/>
              <w:bidi w:val="0"/>
              <w:spacing w:before="0" w:after="283"/>
              <w:jc w:val="left"/>
              <w:rPr/>
            </w:pPr>
            <w:r>
              <w:rPr/>
              <w:t> </w:t>
            </w:r>
          </w:p>
        </w:tc>
      </w:tr>
      <w:tr>
        <w:trPr/>
        <w:tc>
          <w:tcPr>
            <w:tcW w:w="4878"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17"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r>
      <w:tr>
        <w:trPr/>
        <w:tc>
          <w:tcPr>
            <w:tcW w:w="4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operating</w:t>
            </w:r>
          </w:p>
        </w:tc>
        <w:tc>
          <w:tcPr>
            <w:tcW w:w="40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3.7</w:t>
            </w:r>
          </w:p>
        </w:tc>
        <w:tc>
          <w:tcPr>
            <w:tcW w:w="417"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4.5</w:t>
            </w:r>
          </w:p>
        </w:tc>
        <w:tc>
          <w:tcPr>
            <w:tcW w:w="279" w:type="dxa"/>
            <w:tcBorders/>
            <w:shd w:fill="CCEEFF" w:val="clear"/>
            <w:vAlign w:val="bottom"/>
          </w:tcPr>
          <w:p>
            <w:pPr>
              <w:pStyle w:val="TableContents"/>
              <w:bidi w:val="0"/>
              <w:spacing w:before="0" w:after="283"/>
              <w:jc w:val="left"/>
              <w:rPr/>
            </w:pPr>
            <w:r>
              <w:rPr/>
              <w:t> </w:t>
            </w:r>
          </w:p>
        </w:tc>
      </w:tr>
      <w:tr>
        <w:trPr/>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finance</w:t>
            </w:r>
          </w:p>
        </w:tc>
        <w:tc>
          <w:tcPr>
            <w:tcW w:w="40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3.9</w:t>
            </w:r>
          </w:p>
        </w:tc>
        <w:tc>
          <w:tcPr>
            <w:tcW w:w="417"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3.9</w:t>
            </w:r>
          </w:p>
        </w:tc>
        <w:tc>
          <w:tcPr>
            <w:tcW w:w="279" w:type="dxa"/>
            <w:tcBorders/>
            <w:vAlign w:val="bottom"/>
          </w:tcPr>
          <w:p>
            <w:pPr>
              <w:pStyle w:val="TableContents"/>
              <w:bidi w:val="0"/>
              <w:spacing w:before="0" w:after="283"/>
              <w:jc w:val="left"/>
              <w:rPr/>
            </w:pPr>
            <w:r>
              <w:rPr/>
              <w:t> </w:t>
            </w:r>
          </w:p>
        </w:tc>
      </w:tr>
      <w:tr>
        <w:trPr/>
        <w:tc>
          <w:tcPr>
            <w:tcW w:w="4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operating</w:t>
            </w:r>
          </w:p>
        </w:tc>
        <w:tc>
          <w:tcPr>
            <w:tcW w:w="40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6.79</w:t>
            </w:r>
          </w:p>
        </w:tc>
        <w:tc>
          <w:tcPr>
            <w:tcW w:w="417"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7.23</w:t>
            </w:r>
          </w:p>
        </w:tc>
        <w:tc>
          <w:tcPr>
            <w:tcW w:w="279" w:type="dxa"/>
            <w:tcBorders/>
            <w:shd w:fill="CCEEFF" w:val="clear"/>
            <w:vAlign w:val="bottom"/>
          </w:tcPr>
          <w:p>
            <w:pPr>
              <w:pStyle w:val="TableContents"/>
              <w:bidi w:val="0"/>
              <w:spacing w:before="0" w:after="283"/>
              <w:jc w:val="left"/>
              <w:rPr/>
            </w:pPr>
            <w:r>
              <w:rPr/>
              <w:t>% </w:t>
            </w:r>
          </w:p>
        </w:tc>
      </w:tr>
      <w:tr>
        <w:trPr/>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finance</w:t>
            </w:r>
          </w:p>
        </w:tc>
        <w:tc>
          <w:tcPr>
            <w:tcW w:w="40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5.81</w:t>
            </w:r>
          </w:p>
        </w:tc>
        <w:tc>
          <w:tcPr>
            <w:tcW w:w="417"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6.09</w:t>
            </w:r>
          </w:p>
        </w:tc>
        <w:tc>
          <w:tcPr>
            <w:tcW w:w="27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cash flow information related to leases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50"/>
        <w:gridCol w:w="319"/>
        <w:gridCol w:w="140"/>
        <w:gridCol w:w="687"/>
        <w:gridCol w:w="60"/>
        <w:gridCol w:w="319"/>
        <w:gridCol w:w="140"/>
        <w:gridCol w:w="687"/>
        <w:gridCol w:w="60"/>
        <w:gridCol w:w="319"/>
        <w:gridCol w:w="140"/>
        <w:gridCol w:w="687"/>
        <w:gridCol w:w="64"/>
      </w:tblGrid>
      <w:tr>
        <w:trPr/>
        <w:tc>
          <w:tcPr>
            <w:tcW w:w="495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32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495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outflows from operating leases</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1,827</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1,824</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2,040</w:t>
            </w:r>
          </w:p>
        </w:tc>
        <w:tc>
          <w:tcPr>
            <w:tcW w:w="64" w:type="dxa"/>
            <w:tcBorders/>
            <w:shd w:fill="CCEEFF" w:val="clear"/>
            <w:vAlign w:val="bottom"/>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outflows from finance leases</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2,012</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1,394</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859</w:t>
            </w:r>
          </w:p>
        </w:tc>
        <w:tc>
          <w:tcPr>
            <w:tcW w:w="64" w:type="dxa"/>
            <w:tcBorders/>
            <w:vAlign w:val="bottom"/>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outflows from finance leases</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9,324</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4,299</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3,701</w:t>
            </w:r>
          </w:p>
        </w:tc>
        <w:tc>
          <w:tcPr>
            <w:tcW w:w="64" w:type="dxa"/>
            <w:tcBorders/>
            <w:shd w:fill="CCEEFF" w:val="clear"/>
            <w:vAlign w:val="bottom"/>
          </w:tcPr>
          <w:p>
            <w:pPr>
              <w:pStyle w:val="TableContents"/>
              <w:bidi w:val="0"/>
              <w:spacing w:before="0" w:after="283"/>
              <w:jc w:val="left"/>
              <w:rPr/>
            </w:pPr>
            <w:r>
              <w:rPr/>
              <w:t> </w:t>
            </w:r>
          </w:p>
        </w:tc>
      </w:tr>
      <w:tr>
        <w:trPr/>
        <w:tc>
          <w:tcPr>
            <w:tcW w:w="4950"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operating lease liabilities</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3,650</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3,660</w:t>
            </w:r>
          </w:p>
        </w:tc>
        <w:tc>
          <w:tcPr>
            <w:tcW w:w="64" w:type="dxa"/>
            <w:tcBorders/>
            <w:vAlign w:val="bottom"/>
          </w:tcPr>
          <w:p>
            <w:pPr>
              <w:pStyle w:val="TableContents"/>
              <w:bidi w:val="0"/>
              <w:spacing w:before="0" w:after="283"/>
              <w:jc w:val="left"/>
              <w:rPr/>
            </w:pPr>
            <w:r>
              <w:rPr/>
              <w:t> </w:t>
            </w:r>
          </w:p>
        </w:tc>
      </w:tr>
      <w:tr>
        <w:trPr/>
        <w:tc>
          <w:tcPr>
            <w:tcW w:w="4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finance lease liabilities</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21,897</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16,181</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13,240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Total remaining lease payments under both the Company’s operating and finance leases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82"/>
        <w:gridCol w:w="347"/>
        <w:gridCol w:w="199"/>
        <w:gridCol w:w="883"/>
        <w:gridCol w:w="155"/>
        <w:gridCol w:w="296"/>
        <w:gridCol w:w="141"/>
        <w:gridCol w:w="694"/>
        <w:gridCol w:w="158"/>
      </w:tblGrid>
      <w:tr>
        <w:trPr/>
        <w:tc>
          <w:tcPr>
            <w:tcW w:w="4882"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2"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pPr>
            <w:r>
              <w:rPr>
                <w:b/>
              </w:rPr>
              <w:t>Operating</w:t>
            </w:r>
            <w:r>
              <w:rPr/>
              <w:br/>
            </w:r>
            <w:r>
              <w:rPr>
                <w:b/>
              </w:rPr>
              <w:t>Leases</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58" w:type="dxa"/>
            <w:tcBorders/>
            <w:vAlign w:val="bottom"/>
          </w:tcPr>
          <w:p>
            <w:pPr>
              <w:pStyle w:val="TableContents"/>
              <w:bidi w:val="0"/>
              <w:spacing w:before="0" w:after="283"/>
              <w:jc w:val="left"/>
              <w:rPr/>
            </w:pPr>
            <w:r>
              <w:rPr/>
              <w:t> </w:t>
            </w:r>
          </w:p>
        </w:tc>
      </w:tr>
      <w:tr>
        <w:trPr/>
        <w:tc>
          <w:tcPr>
            <w:tcW w:w="48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34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882"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2,956</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12,882</w:t>
            </w:r>
          </w:p>
        </w:tc>
        <w:tc>
          <w:tcPr>
            <w:tcW w:w="158" w:type="dxa"/>
            <w:tcBorders/>
            <w:vAlign w:val="bottom"/>
          </w:tcPr>
          <w:p>
            <w:pPr>
              <w:pStyle w:val="TableContents"/>
              <w:bidi w:val="0"/>
              <w:spacing w:before="0" w:after="283"/>
              <w:jc w:val="left"/>
              <w:rPr/>
            </w:pPr>
            <w:r>
              <w:rPr/>
              <w:t> </w:t>
            </w:r>
          </w:p>
        </w:tc>
      </w:tr>
      <w:tr>
        <w:trPr/>
        <w:tc>
          <w:tcPr>
            <w:tcW w:w="4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34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2,818</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12,149</w:t>
            </w:r>
          </w:p>
        </w:tc>
        <w:tc>
          <w:tcPr>
            <w:tcW w:w="158" w:type="dxa"/>
            <w:tcBorders/>
            <w:shd w:fill="CCEEFF" w:val="clear"/>
            <w:vAlign w:val="bottom"/>
          </w:tcPr>
          <w:p>
            <w:pPr>
              <w:pStyle w:val="TableContents"/>
              <w:bidi w:val="0"/>
              <w:spacing w:before="0" w:after="283"/>
              <w:jc w:val="left"/>
              <w:rPr/>
            </w:pPr>
            <w:r>
              <w:rPr/>
              <w:t> </w:t>
            </w:r>
          </w:p>
        </w:tc>
      </w:tr>
      <w:tr>
        <w:trPr/>
        <w:tc>
          <w:tcPr>
            <w:tcW w:w="4882"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2,179</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9,995</w:t>
            </w:r>
          </w:p>
        </w:tc>
        <w:tc>
          <w:tcPr>
            <w:tcW w:w="158" w:type="dxa"/>
            <w:tcBorders/>
            <w:vAlign w:val="bottom"/>
          </w:tcPr>
          <w:p>
            <w:pPr>
              <w:pStyle w:val="TableContents"/>
              <w:bidi w:val="0"/>
              <w:spacing w:before="0" w:after="283"/>
              <w:jc w:val="left"/>
              <w:rPr/>
            </w:pPr>
            <w:r>
              <w:rPr/>
              <w:t> </w:t>
            </w:r>
          </w:p>
        </w:tc>
      </w:tr>
      <w:tr>
        <w:trPr/>
        <w:tc>
          <w:tcPr>
            <w:tcW w:w="4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34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1,398</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7,389</w:t>
            </w:r>
          </w:p>
        </w:tc>
        <w:tc>
          <w:tcPr>
            <w:tcW w:w="158" w:type="dxa"/>
            <w:tcBorders/>
            <w:shd w:fill="CCEEFF" w:val="clear"/>
            <w:vAlign w:val="bottom"/>
          </w:tcPr>
          <w:p>
            <w:pPr>
              <w:pStyle w:val="TableContents"/>
              <w:bidi w:val="0"/>
              <w:spacing w:before="0" w:after="283"/>
              <w:jc w:val="left"/>
              <w:rPr/>
            </w:pPr>
            <w:r>
              <w:rPr/>
              <w:t> </w:t>
            </w:r>
          </w:p>
        </w:tc>
      </w:tr>
      <w:tr>
        <w:trPr/>
        <w:tc>
          <w:tcPr>
            <w:tcW w:w="4882"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474</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2,993</w:t>
            </w:r>
          </w:p>
        </w:tc>
        <w:tc>
          <w:tcPr>
            <w:tcW w:w="158" w:type="dxa"/>
            <w:tcBorders/>
            <w:vAlign w:val="bottom"/>
          </w:tcPr>
          <w:p>
            <w:pPr>
              <w:pStyle w:val="TableContents"/>
              <w:bidi w:val="0"/>
              <w:spacing w:before="0" w:after="283"/>
              <w:jc w:val="left"/>
              <w:rPr/>
            </w:pPr>
            <w:r>
              <w:rPr/>
              <w:t> </w:t>
            </w:r>
          </w:p>
        </w:tc>
      </w:tr>
      <w:tr>
        <w:trPr/>
        <w:tc>
          <w:tcPr>
            <w:tcW w:w="4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34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82" w:type="dxa"/>
            <w:tcBorders/>
          </w:tcPr>
          <w:p>
            <w:pPr>
              <w:pStyle w:val="TableContents"/>
              <w:bidi w:val="0"/>
              <w:spacing w:before="0" w:after="0"/>
              <w:jc w:val="left"/>
              <w:rPr>
                <w:rFonts w:ascii="Times New Roman" w:hAnsi="Times New Roman"/>
                <w:sz w:val="20"/>
              </w:rPr>
            </w:pPr>
            <w:r>
              <w:rPr>
                <w:rFonts w:ascii="Times New Roman" w:hAnsi="Times New Roman"/>
                <w:sz w:val="20"/>
              </w:rPr>
              <w:t>Total undiscounted minimum lease payments</w:t>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9,825</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45,408</w:t>
            </w:r>
          </w:p>
        </w:tc>
        <w:tc>
          <w:tcPr>
            <w:tcW w:w="158" w:type="dxa"/>
            <w:tcBorders/>
            <w:vAlign w:val="bottom"/>
          </w:tcPr>
          <w:p>
            <w:pPr>
              <w:pStyle w:val="TableContents"/>
              <w:bidi w:val="0"/>
              <w:spacing w:before="0" w:after="283"/>
              <w:jc w:val="left"/>
              <w:rPr/>
            </w:pPr>
            <w:r>
              <w:rPr/>
              <w:t> </w:t>
            </w:r>
          </w:p>
        </w:tc>
      </w:tr>
      <w:tr>
        <w:trPr/>
        <w:tc>
          <w:tcPr>
            <w:tcW w:w="4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present value discount</w:t>
            </w:r>
          </w:p>
        </w:tc>
        <w:tc>
          <w:tcPr>
            <w:tcW w:w="34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(1,129</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(4,567</w:t>
            </w:r>
          </w:p>
        </w:tc>
        <w:tc>
          <w:tcPr>
            <w:tcW w:w="158"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882"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83" w:type="dxa"/>
            <w:tcBorders/>
            <w:vAlign w:val="bottom"/>
          </w:tcPr>
          <w:p>
            <w:pPr>
              <w:pStyle w:val="TableContents"/>
              <w:bidi w:val="0"/>
              <w:spacing w:before="0" w:after="283"/>
              <w:jc w:val="right"/>
              <w:rPr/>
            </w:pPr>
            <w:r>
              <w:rPr/>
              <w:t>8,696</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40,841</w:t>
            </w:r>
          </w:p>
        </w:tc>
        <w:tc>
          <w:tcPr>
            <w:tcW w:w="158"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Unit-based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Legacy CS Energy Class B Units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CS Energy recognized unit-based compensation expense related to equity awards issued by its parent partnership to employees and nonemployees (“CS Energy Class B Units”). </w:t>
      </w:r>
    </w:p>
    <w:p>
      <w:pPr>
        <w:pStyle w:val="TextBody"/>
        <w:bidi w:val="0"/>
        <w:spacing w:before="240" w:after="0"/>
        <w:jc w:val="left"/>
        <w:rPr>
          <w:rFonts w:ascii="Times New Roman" w:hAnsi="Times New Roman"/>
          <w:sz w:val="20"/>
        </w:rPr>
      </w:pPr>
      <w:r>
        <w:rPr>
          <w:rFonts w:ascii="Times New Roman" w:hAnsi="Times New Roman"/>
          <w:sz w:val="20"/>
        </w:rPr>
        <w:t xml:space="preserve">The awards consisted of time-based and performance-based units. Time-based awards generally vested over five years subject to continued service. Performance-based awards vested based on achievement of specified financial targets or upon the occurrence of certain transaction-related events. </w:t>
      </w:r>
    </w:p>
    <w:p>
      <w:pPr>
        <w:pStyle w:val="TextBody"/>
        <w:bidi w:val="0"/>
        <w:spacing w:before="240" w:after="0"/>
        <w:jc w:val="left"/>
        <w:rPr>
          <w:rFonts w:ascii="Times New Roman" w:hAnsi="Times New Roman"/>
          <w:sz w:val="20"/>
        </w:rPr>
      </w:pPr>
      <w:r>
        <w:rPr>
          <w:rFonts w:ascii="Times New Roman" w:hAnsi="Times New Roman"/>
          <w:sz w:val="20"/>
        </w:rPr>
        <w:t xml:space="preserve">CS Energy recorded share-based compensation expense for the CS Energy B-1 Units of $830 and $905 for the year ended December 31, 2024 and 2023. The share-based compensation expense is recorded in “Selling, general and administrative expenses” in the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Merger, the CS Energy Class B Units were exchanged for Restricted Class C Units (“Additional C Units”) in SOLV Energy Management Holdings, LP, a parent entity of the Company, as explained within this footnote. Therefore, there were no CS Energy Class B Units outstanding as of December 31, 2025 and 2024. </w:t>
      </w:r>
    </w:p>
    <w:p>
      <w:pPr>
        <w:pStyle w:val="TextBody"/>
        <w:bidi w:val="0"/>
        <w:spacing w:before="360" w:after="0"/>
        <w:jc w:val="left"/>
        <w:rPr>
          <w:rFonts w:ascii="Times New Roman" w:hAnsi="Times New Roman"/>
          <w:i/>
          <w:sz w:val="20"/>
        </w:rPr>
      </w:pPr>
      <w:r>
        <w:rPr>
          <w:rFonts w:ascii="Times New Roman" w:hAnsi="Times New Roman"/>
          <w:i/>
          <w:sz w:val="20"/>
        </w:rPr>
        <w:t xml:space="preserve">Class B-1 Units </w:t>
      </w:r>
    </w:p>
    <w:p>
      <w:pPr>
        <w:pStyle w:val="TextBody"/>
        <w:bidi w:val="0"/>
        <w:spacing w:before="120" w:after="0"/>
        <w:jc w:val="left"/>
        <w:rPr>
          <w:rFonts w:ascii="Times New Roman" w:hAnsi="Times New Roman"/>
          <w:sz w:val="20"/>
        </w:rPr>
      </w:pPr>
      <w:r>
        <w:rPr>
          <w:rFonts w:ascii="Times New Roman" w:hAnsi="Times New Roman"/>
          <w:sz w:val="20"/>
        </w:rPr>
        <w:t xml:space="preserve">At January 1, 2023, 143,916 Class B-1 Units were outstanding. During 2023, 6,313 units were granted, resulting in 150,229 units outstanding at December 31, 2023, of which 4,863 were exercisable. </w:t>
      </w:r>
    </w:p>
    <w:p>
      <w:pPr>
        <w:pStyle w:val="TextBody"/>
        <w:bidi w:val="0"/>
        <w:spacing w:before="240" w:after="0"/>
        <w:jc w:val="left"/>
        <w:rPr>
          <w:rFonts w:ascii="Times New Roman" w:hAnsi="Times New Roman"/>
          <w:sz w:val="20"/>
        </w:rPr>
      </w:pPr>
      <w:r>
        <w:rPr>
          <w:rFonts w:ascii="Times New Roman" w:hAnsi="Times New Roman"/>
          <w:sz w:val="20"/>
        </w:rPr>
        <w:t xml:space="preserve">During 2024, 3,447 units were granted and 8,850 units were forfeited. In connection with the Merger on October 7, 2024, 144,826 units were exchanged for Restricted Class C Units of SOLV Energy Management Holdings, LP (“Additional C Units”). As a result, no Class B-1 Units were outstanding or exercisable at December 31, 2024 or 2025. </w:t>
      </w:r>
    </w:p>
    <w:p>
      <w:pPr>
        <w:pStyle w:val="TextBody"/>
        <w:bidi w:val="0"/>
        <w:spacing w:before="360" w:after="0"/>
        <w:jc w:val="left"/>
        <w:rPr>
          <w:rFonts w:ascii="Times New Roman" w:hAnsi="Times New Roman"/>
          <w:i/>
          <w:sz w:val="20"/>
        </w:rPr>
      </w:pPr>
      <w:r>
        <w:rPr>
          <w:rFonts w:ascii="Times New Roman" w:hAnsi="Times New Roman"/>
          <w:i/>
          <w:sz w:val="20"/>
        </w:rPr>
        <w:t xml:space="preserve">Class B-2 Units </w:t>
      </w:r>
    </w:p>
    <w:p>
      <w:pPr>
        <w:pStyle w:val="TextBody"/>
        <w:bidi w:val="0"/>
        <w:spacing w:before="120" w:after="0"/>
        <w:jc w:val="left"/>
        <w:rPr>
          <w:rFonts w:ascii="Times New Roman" w:hAnsi="Times New Roman"/>
          <w:sz w:val="20"/>
        </w:rPr>
      </w:pPr>
      <w:r>
        <w:rPr>
          <w:rFonts w:ascii="Times New Roman" w:hAnsi="Times New Roman"/>
          <w:sz w:val="20"/>
        </w:rPr>
        <w:t xml:space="preserve">At January 1, 2023, 62,000 Class B-2 Units were outstanding. During 2023, 2,232 additional units were granted, resulting in 64,232 units outstanding at December 31, 2023. None of the Class B-2 Units were exercisable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on October 7, 2024, all 64,232 outstanding Class B-2 Units were exchanged for Additional C Units, Accordingly, no Class B-2 Units were outstanding or exercisable at December 31, 2024 or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Restricted Class C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grants Restricted Class C Units to employees and non-employees, with time, performance and multiple on invested capital (“MOIC”) vesting (collectively, “Legacy SOLV Units”). </w:t>
      </w:r>
    </w:p>
    <w:p>
      <w:pPr>
        <w:pStyle w:val="TextBody"/>
        <w:bidi w:val="0"/>
        <w:spacing w:before="120" w:after="0"/>
        <w:jc w:val="left"/>
        <w:rPr>
          <w:rFonts w:ascii="Times New Roman" w:hAnsi="Times New Roman"/>
          <w:sz w:val="20"/>
        </w:rPr>
      </w:pPr>
      <w:r>
        <w:rPr>
          <w:rFonts w:ascii="Times New Roman" w:hAnsi="Times New Roman"/>
          <w:i/>
          <w:sz w:val="20"/>
        </w:rPr>
        <w:t>Time-vested units</w:t>
      </w:r>
      <w:r>
        <w:rPr>
          <w:rFonts w:ascii="Times New Roman" w:hAnsi="Times New Roman"/>
          <w:sz w:val="20"/>
        </w:rPr>
        <w:t xml:space="preserve"> – These units vest 20% each year and become fully vested upon the fifth anniversary of the vesting start date, subject to each recipient having been an employee or key non-employee at all times from the grant date through each vesting date. </w:t>
      </w:r>
    </w:p>
    <w:p>
      <w:pPr>
        <w:pStyle w:val="TextBody"/>
        <w:bidi w:val="0"/>
        <w:spacing w:before="120" w:after="0"/>
        <w:jc w:val="left"/>
        <w:rPr>
          <w:rFonts w:ascii="Times New Roman" w:hAnsi="Times New Roman"/>
          <w:sz w:val="20"/>
        </w:rPr>
      </w:pPr>
      <w:r>
        <w:rPr>
          <w:rFonts w:ascii="Times New Roman" w:hAnsi="Times New Roman"/>
          <w:i/>
          <w:sz w:val="20"/>
        </w:rPr>
        <w:t>Performance-vested units</w:t>
      </w:r>
      <w:r>
        <w:rPr>
          <w:rFonts w:ascii="Times New Roman" w:hAnsi="Times New Roman"/>
          <w:sz w:val="20"/>
        </w:rPr>
        <w:t xml:space="preserve"> – These units vest upon the achievement of certain EBITDA performance targets, with 20% of the performance-vested units becoming exercisable as of the last day of the fiscal year. All performance-vested units become fully vested on the eighth anniversary of the grant date, whether or not the Company meets some or all of the performance targets for any fiscal year, so long as the recipient continues to be an employee or key non-employee at all times from the grant date through the eighth anniversary of the grant date. </w:t>
      </w:r>
    </w:p>
    <w:p>
      <w:pPr>
        <w:pStyle w:val="TextBody"/>
        <w:bidi w:val="0"/>
        <w:spacing w:before="120" w:after="0"/>
        <w:jc w:val="left"/>
        <w:rPr>
          <w:rFonts w:ascii="Times New Roman" w:hAnsi="Times New Roman"/>
          <w:sz w:val="20"/>
        </w:rPr>
      </w:pPr>
      <w:r>
        <w:rPr>
          <w:rFonts w:ascii="Times New Roman" w:hAnsi="Times New Roman"/>
          <w:i/>
          <w:sz w:val="20"/>
        </w:rPr>
        <w:t>MOIC-vested units</w:t>
      </w:r>
      <w:r>
        <w:rPr>
          <w:rFonts w:ascii="Times New Roman" w:hAnsi="Times New Roman"/>
          <w:sz w:val="20"/>
        </w:rPr>
        <w:t xml:space="preserve"> – These units vest only upon a cash distribution threshold being achieved. Compensation expense will be recognized for all awards when the distribution threshold is met and therefore, no compensation expense was recorded related to the Legacy SOLV MOIC-vested units for the years ended December 31, 2025, 2024 and 2023.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on October 25, 2024, 107,297 Additional C Units were awarded to certain employees and key non-employees of CS Energy, including non-employee directors, consultants and independent contractors, in exchange for CS Energy Class B Units. Upon the Merger, all unvested CS Energy Class B Units vested, accordance with the CS Energy Class B Units terms and conditions. Under the terms of these newly issued Additional C Units, the units vest 20% on their initial grant date, then ratably over the annual four-year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Additional C Units issued in exchange for CS Energy Class B Units, the Company also issued a separate tranche of 15,696 Additional C Units to certain employees and key non-employees of CS Energy. These units were granted independently of the exchange awards above and are subject to a distinct vesting schedule. Under the terms of these separately issued Additional C Units, these units vest 20% each year and become fully vested upon the fifth anniversary of the vesting start date, subject to each recipient having been an employee or key non-employee at all times from the grant date through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exchange of the CS Energy Class B-1 Units Time-based and Class B-1 Performance-based awards for Additional C Units are Type I modifications pursuant to ASC 718, </w:t>
      </w:r>
      <w:r>
        <w:rPr>
          <w:rFonts w:ascii="Times New Roman" w:hAnsi="Times New Roman"/>
          <w:i/>
          <w:sz w:val="20"/>
        </w:rPr>
        <w:t>Compensation – Stock Compensation</w:t>
      </w:r>
      <w:r>
        <w:rPr>
          <w:rFonts w:ascii="Times New Roman" w:hAnsi="Times New Roman"/>
          <w:sz w:val="20"/>
        </w:rPr>
        <w:t xml:space="preserve"> (“ASC 718”) because the awards prior to and after the exchange are expected to vest.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exchange, the Company recognized a one-time incremental expense of approximately $776 for the vested awards in the statement of operations for the year ended December 31, 2024. An incremental expense of approximately $1,897 will be recognized for the unvested awards over the remaining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exchange of the CS Energy Class B-2 Units Performance-based awards for Class C Units is a Type III modification pursuant to ASC 718 because the Class B-2 Units Performance-based awards vesting condition was deemed improbable whereas the Class C Units vesting condition was deemed probable. As of the date of the exchange, total incremental stock-based compensation expense was $1,743, which will be recognized over the remaining service periods of the Class B-2 Units Performance-based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the vesting terms of the Legacy SOLV MOIC-vested units were modified. Prior to the Merger, these units were to vest ultimately upon a liquidity event once a certain investment return multiple was achieved. This provision was amended so that the units now vest only upon a certain cash distribution threshold being achieved. The Company determined this to be a Type IV modification pursuant to ASC 718 because the MOIC-vested unit vesting conditions were deemed improbable both prior to and after this modification. Accordingly, no incremental expense was recognized on the modification date and will only be recognized if and when the vesting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Legacy SOLV Unit and Additional Class C Unit activity, for the years ended December 31, 2025, 2024 and 2023: </w:t>
      </w:r>
    </w:p>
    <w:p>
      <w:pPr>
        <w:pStyle w:val="TextBody"/>
        <w:bidi w:val="0"/>
        <w:spacing w:before="360" w:after="0"/>
        <w:jc w:val="left"/>
        <w:rPr>
          <w:rFonts w:ascii="Times New Roman" w:hAnsi="Times New Roman"/>
          <w:i/>
          <w:sz w:val="20"/>
        </w:rPr>
      </w:pPr>
      <w:r>
        <w:rPr>
          <w:rFonts w:ascii="Times New Roman" w:hAnsi="Times New Roman"/>
          <w:i/>
          <w:sz w:val="20"/>
        </w:rPr>
        <w:t xml:space="preserve">Time-Vested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21"/>
        <w:gridCol w:w="297"/>
        <w:gridCol w:w="78"/>
        <w:gridCol w:w="1067"/>
        <w:gridCol w:w="155"/>
        <w:gridCol w:w="258"/>
        <w:gridCol w:w="169"/>
        <w:gridCol w:w="832"/>
        <w:gridCol w:w="60"/>
        <w:gridCol w:w="297"/>
        <w:gridCol w:w="197"/>
        <w:gridCol w:w="1068"/>
        <w:gridCol w:w="60"/>
        <w:gridCol w:w="297"/>
        <w:gridCol w:w="214"/>
        <w:gridCol w:w="857"/>
        <w:gridCol w:w="161"/>
      </w:tblGrid>
      <w:tr>
        <w:trPr/>
        <w:tc>
          <w:tcPr>
            <w:tcW w:w="3321"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2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Units</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Remaining</w:t>
            </w:r>
            <w:r>
              <w:rPr/>
              <w:br/>
            </w:r>
            <w:r>
              <w:rPr>
                <w:b/>
              </w:rPr>
              <w:t>Contractual</w:t>
              <w:br/>
              <w:t>Term</w:t>
            </w:r>
            <w:r>
              <w:rPr/>
              <w:br/>
            </w:r>
            <w:r>
              <w:rPr>
                <w:b/>
              </w:rPr>
              <w:t>(years)</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Fair Value</w:t>
            </w:r>
            <w:r>
              <w:rPr/>
              <w:br/>
            </w:r>
            <w:r>
              <w:rPr>
                <w:b/>
              </w:rPr>
              <w:t>(in</w:t>
              <w:br/>
              <w:t>thousands)</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2023</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133,536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100.21</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5,287</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4,125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160</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(13,231</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101.44</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(527</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124,430</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101.51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4,920</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50,016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100.24</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1,982</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32,750</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201.93</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1,329</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(1,084</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(42</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(8,864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102.33</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(354</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147,232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123.72</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5,853</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67,566</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100.70</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2,673</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70,715</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357.05</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1,191</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114.49</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(8</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(1,525</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108.95</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(55</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2025</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216,187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200.16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6,981</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2025</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97,000</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117.51</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4,725</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$2,761, $799 and $943 in compensation expense related to the Legacy SOLV time-vested units for the years ended December 31, 2025, 2024 and 2023 respectively. As of December 31, 2025, there was $12,554 of unrecognized compensation expense expected to be recognized through 2029.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21"/>
        <w:gridCol w:w="297"/>
        <w:gridCol w:w="78"/>
        <w:gridCol w:w="1067"/>
        <w:gridCol w:w="155"/>
        <w:gridCol w:w="258"/>
        <w:gridCol w:w="169"/>
        <w:gridCol w:w="832"/>
        <w:gridCol w:w="60"/>
        <w:gridCol w:w="297"/>
        <w:gridCol w:w="197"/>
        <w:gridCol w:w="1068"/>
        <w:gridCol w:w="60"/>
        <w:gridCol w:w="297"/>
        <w:gridCol w:w="214"/>
        <w:gridCol w:w="857"/>
        <w:gridCol w:w="161"/>
      </w:tblGrid>
      <w:tr>
        <w:trPr/>
        <w:tc>
          <w:tcPr>
            <w:tcW w:w="3321"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2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Units</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Exercise</w:t>
              <w:br/>
              <w:t>Price</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Remaining</w:t>
            </w:r>
            <w:r>
              <w:rPr/>
              <w:br/>
            </w:r>
            <w:r>
              <w:rPr>
                <w:b/>
              </w:rPr>
              <w:t>Contractual</w:t>
              <w:br/>
              <w:t>Term</w:t>
            </w:r>
            <w:r>
              <w:rPr/>
              <w:br/>
            </w:r>
            <w:r>
              <w:rPr>
                <w:b/>
              </w:rPr>
              <w:t>(years)</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Fair Value</w:t>
            </w:r>
            <w:r>
              <w:rPr/>
              <w:br/>
            </w:r>
            <w:r>
              <w:rPr>
                <w:b/>
              </w:rPr>
              <w:t>(in</w:t>
              <w:br/>
              <w:t>thousands)</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2023</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130,536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5,168</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4,125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179</w:t>
            </w:r>
          </w:p>
        </w:tc>
        <w:tc>
          <w:tcPr>
            <w:tcW w:w="161" w:type="dxa"/>
            <w:tcBorders/>
            <w:vAlign w:val="bottom"/>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(16,284</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101.47</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(653</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118,377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101.31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4,694</w:t>
            </w:r>
          </w:p>
        </w:tc>
        <w:tc>
          <w:tcPr>
            <w:tcW w:w="161" w:type="dxa"/>
            <w:tcBorders/>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9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321"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4620"/>
        <w:gridCol w:w="193"/>
        <w:gridCol w:w="60"/>
        <w:gridCol w:w="846"/>
        <w:gridCol w:w="165"/>
        <w:gridCol w:w="140"/>
        <w:gridCol w:w="60"/>
        <w:gridCol w:w="706"/>
        <w:gridCol w:w="60"/>
        <w:gridCol w:w="193"/>
        <w:gridCol w:w="60"/>
        <w:gridCol w:w="338"/>
        <w:gridCol w:w="60"/>
        <w:gridCol w:w="193"/>
        <w:gridCol w:w="140"/>
        <w:gridCol w:w="565"/>
        <w:gridCol w:w="173"/>
      </w:tblGrid>
      <w:tr>
        <w:trPr/>
        <w:tc>
          <w:tcPr>
            <w:tcW w:w="462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15,250</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142.31</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352</w:t>
            </w:r>
          </w:p>
        </w:tc>
        <w:tc>
          <w:tcPr>
            <w:tcW w:w="173" w:type="dxa"/>
            <w:tcBorders/>
            <w:shd w:fill="CCEEFF" w:val="clear"/>
            <w:vAlign w:val="bottom"/>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(7,307</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102.18</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(295</w:t>
            </w:r>
          </w:p>
        </w:tc>
        <w:tc>
          <w:tcPr>
            <w:tcW w:w="173"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126,320</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105.98</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4,751</w:t>
            </w:r>
          </w:p>
        </w:tc>
        <w:tc>
          <w:tcPr>
            <w:tcW w:w="173" w:type="dxa"/>
            <w:tcBorders/>
            <w:shd w:fill="CCEEFF" w:val="clear"/>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(2,367</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107.21</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(85</w:t>
            </w:r>
          </w:p>
        </w:tc>
        <w:tc>
          <w:tcPr>
            <w:tcW w:w="173"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2025</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123,953</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105.96</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4,666</w:t>
            </w:r>
          </w:p>
        </w:tc>
        <w:tc>
          <w:tcPr>
            <w:tcW w:w="173" w:type="dxa"/>
            <w:tcBorders/>
            <w:shd w:fill="CCEEFF" w:val="clear"/>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2025</w:t>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$555, $520 and $526 in compensation expense related to the Legacy SOLV performance-vested units for the years ended December 31, 2025, 2024 and 2023, respectively. As of December 31, 2025, there was $2,581 of unrecognized compensation expense expected to be recognized through 2032. </w:t>
      </w:r>
    </w:p>
    <w:p>
      <w:pPr>
        <w:pStyle w:val="TextBody"/>
        <w:bidi w:val="0"/>
        <w:spacing w:before="360" w:after="0"/>
        <w:jc w:val="left"/>
        <w:rPr>
          <w:rFonts w:ascii="Times New Roman" w:hAnsi="Times New Roman"/>
          <w:i/>
          <w:sz w:val="20"/>
        </w:rPr>
      </w:pPr>
      <w:r>
        <w:rPr>
          <w:rFonts w:ascii="Times New Roman" w:hAnsi="Times New Roman"/>
          <w:i/>
          <w:sz w:val="20"/>
        </w:rPr>
        <w:t xml:space="preserve">MOIC-Vested Units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75"/>
        <w:gridCol w:w="320"/>
        <w:gridCol w:w="83"/>
        <w:gridCol w:w="1059"/>
        <w:gridCol w:w="155"/>
        <w:gridCol w:w="276"/>
        <w:gridCol w:w="169"/>
        <w:gridCol w:w="829"/>
        <w:gridCol w:w="60"/>
        <w:gridCol w:w="320"/>
        <w:gridCol w:w="197"/>
        <w:gridCol w:w="1064"/>
        <w:gridCol w:w="65"/>
      </w:tblGrid>
      <w:tr>
        <w:trPr/>
        <w:tc>
          <w:tcPr>
            <w:tcW w:w="397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7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Units</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Exercise</w:t>
              <w:br/>
              <w:t>Price</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Remaining</w:t>
            </w:r>
            <w:r>
              <w:rPr/>
              <w:br/>
            </w:r>
            <w:r>
              <w:rPr>
                <w:b/>
              </w:rPr>
              <w:t>Contractual</w:t>
              <w:br/>
              <w:t>Term</w:t>
            </w:r>
            <w:r>
              <w:rPr/>
              <w:br/>
            </w:r>
            <w:r>
              <w:rPr>
                <w:b/>
              </w:rPr>
              <w:t>(years)</w:t>
            </w:r>
          </w:p>
        </w:tc>
        <w:tc>
          <w:tcPr>
            <w:tcW w:w="65" w:type="dxa"/>
            <w:tcBorders/>
            <w:vAlign w:val="bottom"/>
          </w:tcPr>
          <w:p>
            <w:pPr>
              <w:pStyle w:val="TableContents"/>
              <w:bidi w:val="0"/>
              <w:spacing w:before="0" w:after="283"/>
              <w:jc w:val="left"/>
              <w:rPr/>
            </w:pPr>
            <w:r>
              <w:rPr/>
              <w:t> </w:t>
            </w:r>
          </w:p>
        </w:tc>
      </w:tr>
      <w:tr>
        <w:trPr/>
        <w:tc>
          <w:tcPr>
            <w:tcW w:w="3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2023</w:t>
            </w:r>
          </w:p>
        </w:tc>
        <w:tc>
          <w:tcPr>
            <w:tcW w:w="3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87,024</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7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2,750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(10,856</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101.47</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78,918</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100.82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8.1</w:t>
            </w:r>
          </w:p>
        </w:tc>
        <w:tc>
          <w:tcPr>
            <w:tcW w:w="65" w:type="dxa"/>
            <w:tcBorders/>
            <w:vAlign w:val="bottom"/>
          </w:tcPr>
          <w:p>
            <w:pPr>
              <w:pStyle w:val="TableContents"/>
              <w:bidi w:val="0"/>
              <w:spacing w:before="0" w:after="283"/>
              <w:jc w:val="left"/>
              <w:rPr/>
            </w:pPr>
            <w:r>
              <w:rPr/>
              <w:t> </w:t>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3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10,500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(4,871</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102.18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84,547</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106.11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3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7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(1,578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107.20</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2025</w:t>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82,969</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106.09</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6.5</w:t>
            </w:r>
          </w:p>
        </w:tc>
        <w:tc>
          <w:tcPr>
            <w:tcW w:w="65" w:type="dxa"/>
            <w:tcBorders/>
            <w:vAlign w:val="bottom"/>
          </w:tcPr>
          <w:p>
            <w:pPr>
              <w:pStyle w:val="TableContents"/>
              <w:bidi w:val="0"/>
              <w:spacing w:before="0" w:after="283"/>
              <w:jc w:val="left"/>
              <w:rPr/>
            </w:pPr>
            <w:r>
              <w:rPr/>
              <w:t> </w:t>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2025</w:t>
            </w:r>
          </w:p>
        </w:tc>
        <w:tc>
          <w:tcPr>
            <w:tcW w:w="32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7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Additional C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06"/>
        <w:gridCol w:w="296"/>
        <w:gridCol w:w="78"/>
        <w:gridCol w:w="1073"/>
        <w:gridCol w:w="155"/>
        <w:gridCol w:w="257"/>
        <w:gridCol w:w="169"/>
        <w:gridCol w:w="837"/>
        <w:gridCol w:w="60"/>
        <w:gridCol w:w="296"/>
        <w:gridCol w:w="197"/>
        <w:gridCol w:w="1074"/>
        <w:gridCol w:w="60"/>
        <w:gridCol w:w="295"/>
        <w:gridCol w:w="193"/>
        <w:gridCol w:w="882"/>
        <w:gridCol w:w="160"/>
      </w:tblGrid>
      <w:tr>
        <w:trPr/>
        <w:tc>
          <w:tcPr>
            <w:tcW w:w="3306"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Units</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Exercise</w:t>
              <w:br/>
              <w:t>Price</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Remaining</w:t>
            </w:r>
            <w:r>
              <w:rPr/>
              <w:br/>
            </w:r>
            <w:r>
              <w:rPr>
                <w:b/>
              </w:rPr>
              <w:t>Contractual</w:t>
              <w:br/>
              <w:t>Term</w:t>
            </w:r>
            <w:r>
              <w:rPr/>
              <w:br/>
            </w:r>
            <w:r>
              <w:rPr>
                <w:b/>
              </w:rPr>
              <w:t>(years)</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Fair Value</w:t>
            </w:r>
            <w:r>
              <w:rPr/>
              <w:br/>
            </w:r>
            <w:r>
              <w:rPr>
                <w:b/>
              </w:rPr>
              <w:t>(in</w:t>
              <w:br/>
              <w:t>thousands)</w:t>
            </w:r>
          </w:p>
        </w:tc>
        <w:tc>
          <w:tcPr>
            <w:tcW w:w="160"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9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122,993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5,264</w:t>
            </w:r>
          </w:p>
        </w:tc>
        <w:tc>
          <w:tcPr>
            <w:tcW w:w="160"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9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122,993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5,264</w:t>
            </w:r>
          </w:p>
        </w:tc>
        <w:tc>
          <w:tcPr>
            <w:tcW w:w="160"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9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21,459</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1,158</w:t>
            </w:r>
          </w:p>
        </w:tc>
        <w:tc>
          <w:tcPr>
            <w:tcW w:w="160"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(16,010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(864</w:t>
            </w:r>
          </w:p>
        </w:tc>
        <w:tc>
          <w:tcPr>
            <w:tcW w:w="160"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(27,976</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(1,510</w:t>
            </w:r>
          </w:p>
        </w:tc>
        <w:tc>
          <w:tcPr>
            <w:tcW w:w="160"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2025</w:t>
            </w:r>
          </w:p>
        </w:tc>
        <w:tc>
          <w:tcPr>
            <w:tcW w:w="29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79,007</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2,890</w:t>
            </w:r>
          </w:p>
        </w:tc>
        <w:tc>
          <w:tcPr>
            <w:tcW w:w="160" w:type="dxa"/>
            <w:tcBorders/>
            <w:shd w:fill="CCEEFF" w:val="clear"/>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2025</w:t>
            </w:r>
          </w:p>
        </w:tc>
        <w:tc>
          <w:tcPr>
            <w:tcW w:w="29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28,703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1,549</w:t>
            </w:r>
          </w:p>
        </w:tc>
        <w:tc>
          <w:tcPr>
            <w:tcW w:w="160"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$7 and $1,010 in compensation expense related to the Additional Class C Units for the years ended December 31, 2025 and 2024, respectively. As of December 31, 2025, there was $2,142 of unrecognized compensation expense expected to be recognized through 2029.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utilized the following assumption in estimating the fair value of each Legacy SOLV Unit time-vested and performance-vested awards and Class C Units granted under the Black-Scholes pricing model: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72"/>
        <w:gridCol w:w="319"/>
        <w:gridCol w:w="73"/>
        <w:gridCol w:w="539"/>
        <w:gridCol w:w="357"/>
        <w:gridCol w:w="223"/>
        <w:gridCol w:w="73"/>
        <w:gridCol w:w="539"/>
        <w:gridCol w:w="357"/>
        <w:gridCol w:w="223"/>
        <w:gridCol w:w="73"/>
        <w:gridCol w:w="543"/>
        <w:gridCol w:w="281"/>
      </w:tblGrid>
      <w:tr>
        <w:trPr/>
        <w:tc>
          <w:tcPr>
            <w:tcW w:w="4972"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972"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30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1" w:type="dxa"/>
            <w:tcBorders/>
            <w:vAlign w:val="bottom"/>
          </w:tcPr>
          <w:p>
            <w:pPr>
              <w:pStyle w:val="TableContents"/>
              <w:bidi w:val="0"/>
              <w:spacing w:before="0" w:after="283"/>
              <w:jc w:val="left"/>
              <w:rPr/>
            </w:pPr>
            <w:r>
              <w:rPr/>
              <w:t> </w:t>
            </w:r>
          </w:p>
        </w:tc>
      </w:tr>
      <w:tr>
        <w:trPr/>
        <w:tc>
          <w:tcPr>
            <w:tcW w:w="4972"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1" w:type="dxa"/>
            <w:tcBorders/>
            <w:vAlign w:val="bottom"/>
          </w:tcPr>
          <w:p>
            <w:pPr>
              <w:pStyle w:val="TableContents"/>
              <w:bidi w:val="0"/>
              <w:spacing w:before="0" w:after="283"/>
              <w:jc w:val="left"/>
              <w:rPr/>
            </w:pPr>
            <w:r>
              <w:rPr/>
              <w:t> </w:t>
            </w:r>
          </w:p>
        </w:tc>
      </w:tr>
      <w:tr>
        <w:trPr/>
        <w:tc>
          <w:tcPr>
            <w:tcW w:w="4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31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5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5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0.0</w:t>
            </w:r>
          </w:p>
        </w:tc>
        <w:tc>
          <w:tcPr>
            <w:tcW w:w="281" w:type="dxa"/>
            <w:tcBorders/>
            <w:shd w:fill="CCEEFF" w:val="clear"/>
            <w:vAlign w:val="bottom"/>
          </w:tcPr>
          <w:p>
            <w:pPr>
              <w:pStyle w:val="TableContents"/>
              <w:bidi w:val="0"/>
              <w:spacing w:before="0" w:after="283"/>
              <w:jc w:val="left"/>
              <w:rPr/>
            </w:pPr>
            <w:r>
              <w:rPr/>
              <w:t>% </w:t>
            </w:r>
          </w:p>
        </w:tc>
      </w:tr>
      <w:tr>
        <w:trPr/>
        <w:tc>
          <w:tcPr>
            <w:tcW w:w="4972"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1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55.0</w:t>
            </w:r>
          </w:p>
        </w:tc>
        <w:tc>
          <w:tcPr>
            <w:tcW w:w="3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50.0</w:t>
            </w:r>
          </w:p>
        </w:tc>
        <w:tc>
          <w:tcPr>
            <w:tcW w:w="3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62.5</w:t>
            </w:r>
          </w:p>
        </w:tc>
        <w:tc>
          <w:tcPr>
            <w:tcW w:w="281" w:type="dxa"/>
            <w:tcBorders/>
            <w:vAlign w:val="bottom"/>
          </w:tcPr>
          <w:p>
            <w:pPr>
              <w:pStyle w:val="TableContents"/>
              <w:bidi w:val="0"/>
              <w:spacing w:before="0" w:after="283"/>
              <w:jc w:val="left"/>
              <w:rPr/>
            </w:pPr>
            <w:r>
              <w:rPr/>
              <w:t>% </w:t>
            </w:r>
          </w:p>
        </w:tc>
      </w:tr>
      <w:tr>
        <w:trPr/>
        <w:tc>
          <w:tcPr>
            <w:tcW w:w="4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19"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3.7</w:t>
            </w:r>
          </w:p>
        </w:tc>
        <w:tc>
          <w:tcPr>
            <w:tcW w:w="35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4.0</w:t>
            </w:r>
          </w:p>
        </w:tc>
        <w:tc>
          <w:tcPr>
            <w:tcW w:w="35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4.8</w:t>
            </w:r>
          </w:p>
        </w:tc>
        <w:tc>
          <w:tcPr>
            <w:tcW w:w="281" w:type="dxa"/>
            <w:tcBorders/>
            <w:shd w:fill="CCEEFF" w:val="clear"/>
            <w:vAlign w:val="bottom"/>
          </w:tcPr>
          <w:p>
            <w:pPr>
              <w:pStyle w:val="TableContents"/>
              <w:bidi w:val="0"/>
              <w:spacing w:before="0" w:after="283"/>
              <w:jc w:val="left"/>
              <w:rPr/>
            </w:pPr>
            <w:r>
              <w:rPr/>
              <w:t>% </w:t>
            </w:r>
          </w:p>
        </w:tc>
      </w:tr>
      <w:tr>
        <w:trPr/>
        <w:tc>
          <w:tcPr>
            <w:tcW w:w="4972"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319"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0.39</w:t>
            </w:r>
          </w:p>
        </w:tc>
        <w:tc>
          <w:tcPr>
            <w:tcW w:w="3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2.21</w:t>
            </w:r>
          </w:p>
        </w:tc>
        <w:tc>
          <w:tcPr>
            <w:tcW w:w="3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3.23</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As described in Note 18—</w:t>
      </w:r>
      <w:r>
        <w:rPr>
          <w:rFonts w:ascii="Times New Roman" w:hAnsi="Times New Roman"/>
          <w:i/>
          <w:sz w:val="20"/>
        </w:rPr>
        <w:t>Subsequent Events</w:t>
      </w:r>
      <w:r>
        <w:rPr>
          <w:rFonts w:ascii="Times New Roman" w:hAnsi="Times New Roman"/>
          <w:sz w:val="20"/>
        </w:rPr>
        <w:t xml:space="preserve">, subsequent to December 31, 2025, certain reorganization transactions were entered into in connection with the IPO of SOLV Energy, Inc. The reorganization transactions entered into in connection with the IPO consequently ended the Restricted Class C Unit plans discussed above and caused all outstanding Restricted Class C Units to be converted into common units of SOLV Energy Holdings LLC with a uniform time-based vesting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Unit Appreciation (“RUA”) Plan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2021, the Company adopted the SOLV Energy, LLC RUA Plan (the “Plan”) and granted a total of 48,000 RUA awards with an estimated fair value of $4,800 to certain employees. The awards follow an employee payment model, requiring classification as a liability that is measured at fair value at the end of each reporting period. Changes in fair value are recognized as cumulative adjustments to compensation expense each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RUA awards is measured based on the fair value of Class A Units of SOLV Energy Parent Holdings, LP, which is estimated using generally accepted equity valuation and allocation methods. The fair value of RUA awards is derived from unobservable inputs and is therefore a Level 3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awards vest ratably over the 12-month requisite service period the rewards are earned. Fully vested awards granted by the Company that have not forfeited are settled in cash in the earlier of 60 days following a sale of substantially all of the assets or 50% or more of the partnership’s interests of SOLV Energy Parent Holdings LP or the fifth-year anniversary date of the grant. The holders receive for each vested RUA award an amount in cash equal to the fair market value of one share of Class A Unit of SOLV Energy Parent Holdings, LP on the trigger date, as specified in the applicable award agreement. Grantees, upon termination from services, may elect to settle their fully vested awards for cash, in this case equal to the grant date fair value of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summary of the activity for the years ended December 31, 2025, 2024 and 2023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9"/>
        <w:gridCol w:w="392"/>
        <w:gridCol w:w="94"/>
        <w:gridCol w:w="1066"/>
        <w:gridCol w:w="158"/>
      </w:tblGrid>
      <w:tr>
        <w:trPr/>
        <w:tc>
          <w:tcPr>
            <w:tcW w:w="522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2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RUA Units</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2023</w:t>
            </w:r>
          </w:p>
        </w:tc>
        <w:tc>
          <w:tcPr>
            <w:tcW w:w="39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45,600</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9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(4,320</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9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(960</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39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40,320</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9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(4,800</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39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35,520</w:t>
            </w:r>
          </w:p>
        </w:tc>
        <w:tc>
          <w:tcPr>
            <w:tcW w:w="158" w:type="dxa"/>
            <w:tcBorders/>
            <w:vAlign w:val="bottom"/>
          </w:tcPr>
          <w:p>
            <w:pPr>
              <w:pStyle w:val="TableContents"/>
              <w:bidi w:val="0"/>
              <w:spacing w:before="0" w:after="283"/>
              <w:jc w:val="left"/>
              <w:rPr/>
            </w:pPr>
            <w:r>
              <w:rPr/>
              <w:t> </w:t>
            </w:r>
          </w:p>
        </w:tc>
      </w:tr>
      <w:tr>
        <w:trPr/>
        <w:tc>
          <w:tcPr>
            <w:tcW w:w="5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9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(960</w:t>
            </w:r>
          </w:p>
        </w:tc>
        <w:tc>
          <w:tcPr>
            <w:tcW w:w="158" w:type="dxa"/>
            <w:tcBorders/>
            <w:shd w:fill="CCEEFF" w:val="clear"/>
            <w:vAlign w:val="bottom"/>
          </w:tcPr>
          <w:p>
            <w:pPr>
              <w:pStyle w:val="TableContents"/>
              <w:bidi w:val="0"/>
              <w:spacing w:before="0" w:after="283"/>
              <w:jc w:val="left"/>
              <w:rPr/>
            </w:pPr>
            <w:r>
              <w:rPr/>
              <w:t>) </w:t>
            </w:r>
          </w:p>
        </w:tc>
      </w:tr>
      <w:tr>
        <w:trPr/>
        <w:tc>
          <w:tcPr>
            <w:tcW w:w="522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2025</w:t>
            </w:r>
          </w:p>
        </w:tc>
        <w:tc>
          <w:tcPr>
            <w:tcW w:w="39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34,560</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Compensation expense, including the fair value remeasurement, related to RUA units to be settled in cash is recorded in “Selling, general and administrative expenses” and was $24,003 and $5,395 and $(265) for the years ended December 31, 2025,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cash of $96 and $480 for the years ended December 31, 2025 and 2024, respectively, to settle fully vested RUA awards for terminated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Union’s Multiemployer Pension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contributes to a number of multiemployer pension plans under the terms of a collective bargaining agreements (“CBA”) with various unions that covers its union-represented employees. Approximately 15.1% of the Company’s employees as of December 31, 2025 were covered by collective bargaining agreements. The Company’s multiemployer pension plan contribution rates generally are specified in the CBAs (usually on a monthly or annual basis), and contributions are made to the plans on a “pay-as-you-go” basis based on its union employee payrolls. The Company may also have additional liabilities imposed by law as a result of its participation in multiemployer defined benefit pension plans. The Employee Retirement Income Security Act of 1974, as amended by the Multiemployer Pension Plan Amendments Act of 1980, imposes certain liabilities upon an employer who is a contributor to a multiemployer pension plan if the employer withdraws or is deemed to have withdrawn from the plan or the plan is terminated or experiences a mass withdrawal. </w:t>
      </w:r>
    </w:p>
    <w:p>
      <w:pPr>
        <w:pStyle w:val="TextBody"/>
        <w:bidi w:val="0"/>
        <w:spacing w:before="240" w:after="0"/>
        <w:jc w:val="left"/>
        <w:rPr>
          <w:rFonts w:ascii="Times New Roman" w:hAnsi="Times New Roman"/>
          <w:sz w:val="20"/>
        </w:rPr>
      </w:pPr>
      <w:r>
        <w:rPr>
          <w:rFonts w:ascii="Times New Roman" w:hAnsi="Times New Roman"/>
          <w:sz w:val="20"/>
        </w:rPr>
        <w:t xml:space="preserve">The risks of participating in the multiemployer plan are different from single-employer plans in the following respects: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contributed to the multiemployer plan by one employer may be used to provide benefits to employees of other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participating employer stops contributing to the plan, the unfunded obligations of the plan may be borne by the remaining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chooses to stop participating in some of its multiemployer plans, the Company may be required to pay those plans an amount based on the underfunded status of the plan, referred to as a withdrawal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Pension Protection Act of 2006 (PPA) also added special funding and operational rules generally applicable to plan years beginning after 2007 for multiemployer plans in the United States that are classified as “endangered,” “seriously endangered” or “critical” status based on multiple factors (including, for example, the plan’s funded percentage, cash flow position and whether a projected minimum funding deficiency exists). Plans in these classifications must adopt remedial measures to improve their funded status through a funding improvement plan (“FIP”) or rehabilitation plan (“RP”), as applicable, which may require additional contributions from employers (which may take the form of a surcharge on benefit contributions) and/or modifications to retiree benefits. Certain plans to which the Company contributes or may contribute in the future are in “endangered,” “seriously endangered” or “critical” status. The amount of additional funds, if any, that the Company may be obligated to contribute to these plans cannot be reasonably estimated due to uncertainty regarding the amount of future work involving covered union employees, future contribution levels and possible surcharges on plan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plan information relating to the Company’s participation in multiemployer defined benefit pension plans, including company contributions for the last three years, the status of the plans under the PPA and whether the plans are subject to a FIP or RP or contribution surcharges. The most recent PPA zone status available in 2025 and 2024 generally relates to the plans’ fiscal year-ends in 2024 and 2023. Forms 5500 were not yet available for the plan years ending in 2025. The PPA zone status is based on information that the Company received from the respective plans’ administrators, as well as publicly available information on the U.S. Department of Labor website, and is certified by each plan’s actuary. Although multiple factors or tests may result in red zone or yellow zone status, plans in the red zone generally are less than 65 percent funded, plans in the yellow zone generally are less than 80 percent funded, and plans in the green zone generally are at least 80 percent funded. Under the PPA, red zone plans are classified as “critical” status, yellow zone plans are classified as “endangered” status and green zone plans are classified as neither “endangered” nor “critical” status. </w:t>
      </w:r>
    </w:p>
    <w:p>
      <w:pPr>
        <w:pStyle w:val="TextBody"/>
        <w:bidi w:val="0"/>
        <w:spacing w:before="240" w:after="0"/>
        <w:jc w:val="left"/>
        <w:rPr>
          <w:rFonts w:ascii="Times New Roman" w:hAnsi="Times New Roman"/>
          <w:sz w:val="20"/>
        </w:rPr>
      </w:pPr>
      <w:r>
        <w:rPr>
          <w:rFonts w:ascii="Times New Roman" w:hAnsi="Times New Roman"/>
          <w:sz w:val="20"/>
        </w:rPr>
        <w:t xml:space="preserve">The “FIP/RP Status” column indicates plans for which a FIP or a RP is either pending or has been implemented. The last column lists the expiration dates of the Company’s CBAs to which the plans are subject. Total contributions to these plans correspond to the number of union employees employed at any given time and the plans in which they participate and vary depending upon the location and number of ongoing projects at a given time and the need for union resources in connection with such projects. Information has been presented separately for individually significant plans, based on PPA funding status classification, and in the aggregate for all other plans. </w:t>
      </w:r>
    </w:p>
    <w:p>
      <w:pPr>
        <w:pStyle w:val="TextBody"/>
        <w:bidi w:val="0"/>
        <w:spacing w:before="0" w:after="0"/>
        <w:jc w:val="left"/>
        <w:rPr/>
      </w:pPr>
      <w:r>
        <w:rPr/>
        <w:t> </w:t>
      </w:r>
    </w:p>
    <w:tbl>
      <w:tblPr>
        <w:tblW w:w="11495" w:type="dxa"/>
        <w:jc w:val="center"/>
        <w:tblInd w:w="0" w:type="dxa"/>
        <w:tblLayout w:type="fixed"/>
        <w:tblCellMar>
          <w:top w:w="0" w:type="dxa"/>
          <w:left w:w="0" w:type="dxa"/>
          <w:bottom w:w="0" w:type="dxa"/>
          <w:right w:w="0" w:type="dxa"/>
        </w:tblCellMar>
      </w:tblPr>
      <w:tblGrid>
        <w:gridCol w:w="1655"/>
        <w:gridCol w:w="120"/>
        <w:gridCol w:w="60"/>
        <w:gridCol w:w="1175"/>
        <w:gridCol w:w="60"/>
        <w:gridCol w:w="120"/>
        <w:gridCol w:w="60"/>
        <w:gridCol w:w="725"/>
        <w:gridCol w:w="60"/>
        <w:gridCol w:w="120"/>
        <w:gridCol w:w="60"/>
        <w:gridCol w:w="725"/>
        <w:gridCol w:w="60"/>
        <w:gridCol w:w="120"/>
        <w:gridCol w:w="140"/>
        <w:gridCol w:w="680"/>
        <w:gridCol w:w="60"/>
        <w:gridCol w:w="120"/>
        <w:gridCol w:w="140"/>
        <w:gridCol w:w="680"/>
        <w:gridCol w:w="60"/>
        <w:gridCol w:w="120"/>
        <w:gridCol w:w="140"/>
        <w:gridCol w:w="680"/>
        <w:gridCol w:w="60"/>
        <w:gridCol w:w="120"/>
        <w:gridCol w:w="107"/>
        <w:gridCol w:w="543"/>
        <w:gridCol w:w="60"/>
        <w:gridCol w:w="120"/>
        <w:gridCol w:w="111"/>
        <w:gridCol w:w="599"/>
        <w:gridCol w:w="60"/>
        <w:gridCol w:w="120"/>
        <w:gridCol w:w="60"/>
        <w:gridCol w:w="1535"/>
        <w:gridCol w:w="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center"/>
              <w:rPr>
                <w:b/>
              </w:rPr>
            </w:pPr>
            <w:r>
              <w:rPr>
                <w:b/>
              </w:rPr>
              <w:t>Pension Plan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50" w:type="dxa"/>
            <w:gridSpan w:val="6"/>
            <w:tcBorders/>
            <w:vAlign w:val="bottom"/>
          </w:tcPr>
          <w:p>
            <w:pPr>
              <w:pStyle w:val="TableContents"/>
              <w:bidi w:val="0"/>
              <w:spacing w:before="0" w:after="283"/>
              <w:jc w:val="center"/>
              <w:rPr>
                <w:b/>
              </w:rPr>
            </w:pPr>
            <w:r>
              <w:rPr>
                <w:b/>
              </w:rPr>
              <w:t>PPA Zone Status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20" w:type="dxa"/>
            <w:gridSpan w:val="6"/>
            <w:tcBorders/>
            <w:vAlign w:val="bottom"/>
          </w:tcPr>
          <w:p>
            <w:pPr>
              <w:pStyle w:val="TableContents"/>
              <w:bidi w:val="0"/>
              <w:spacing w:before="0" w:after="283"/>
              <w:jc w:val="center"/>
              <w:rPr>
                <w:b/>
              </w:rPr>
            </w:pPr>
            <w:r>
              <w:rPr>
                <w:b/>
              </w:rPr>
              <w:t>Contributions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center"/>
              <w:rPr>
                <w:b/>
              </w:rPr>
            </w:pPr>
            <w:r>
              <w:rPr>
                <w:b/>
              </w:rPr>
              <w:t>FIR/RP</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Sur-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vAlign w:val="bottom"/>
          </w:tcPr>
          <w:p>
            <w:pPr>
              <w:pStyle w:val="TableContents"/>
              <w:bidi w:val="0"/>
              <w:spacing w:before="0" w:after="283"/>
              <w:jc w:val="center"/>
              <w:rPr>
                <w:b/>
              </w:rPr>
            </w:pPr>
            <w:r>
              <w:rPr>
                <w:b/>
              </w:rPr>
              <w:t>Expiration Date</w:t>
            </w:r>
          </w:p>
        </w:tc>
        <w:tc>
          <w:tcPr>
            <w:tcW w:w="60" w:type="dxa"/>
            <w:tcBorders/>
            <w:vAlign w:val="bottom"/>
          </w:tcPr>
          <w:p>
            <w:pPr>
              <w:pStyle w:val="TableContents"/>
              <w:bidi w:val="0"/>
              <w:spacing w:before="0" w:after="283"/>
              <w:jc w:val="left"/>
              <w:rPr/>
            </w:pPr>
            <w:r>
              <w:rPr/>
              <w:t> </w:t>
            </w:r>
          </w:p>
        </w:tc>
      </w:tr>
      <w:tr>
        <w:trPr/>
        <w:tc>
          <w:tcPr>
            <w:tcW w:w="16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Pension Trust Fund</w:t>
            </w:r>
          </w:p>
        </w:tc>
        <w:tc>
          <w:tcPr>
            <w:tcW w:w="12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EIN/PN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Status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charge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 CBA</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California Ironworkers Field Pension Trust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95-6042866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5,324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4,292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16,424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December 2027</w:t>
            </w:r>
          </w:p>
        </w:tc>
        <w:tc>
          <w:tcPr>
            <w:tcW w:w="6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 Laborers Pension Trust for S. California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43-6159056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8,127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December 2026</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National Electrical Benefit Fund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53-0181657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May 2027</w:t>
            </w:r>
          </w:p>
        </w:tc>
        <w:tc>
          <w:tcPr>
            <w:tcW w:w="6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Kern County Electrical Workers Pension Fund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95-6123049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December 2027</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Oregon Laborers-Employers Pension Trust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93-6075363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May 2027</w:t>
            </w:r>
          </w:p>
        </w:tc>
        <w:tc>
          <w:tcPr>
            <w:tcW w:w="6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Western States Carpenters Pension Plan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95-6042875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IBEW Local 100 Pension Plan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94-6216336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Southern California IBEW - NECA Funds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95-6392774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Yellow</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Yellow</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Yes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December 2026</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Laborers Pension Trust Fund for N. California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94-6277608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June 2027</w:t>
            </w:r>
          </w:p>
        </w:tc>
        <w:tc>
          <w:tcPr>
            <w:tcW w:w="60" w:type="dxa"/>
            <w:tcBorders/>
            <w:shd w:fill="CCEEFF" w:val="clear"/>
            <w:vAlign w:val="bottom"/>
          </w:tcPr>
          <w:p>
            <w:pPr>
              <w:pStyle w:val="TableContents"/>
              <w:bidi w:val="0"/>
              <w:spacing w:before="0" w:after="283"/>
              <w:jc w:val="left"/>
              <w:rPr/>
            </w:pPr>
            <w:r>
              <w:rPr/>
              <w:t> </w:t>
            </w:r>
          </w:p>
        </w:tc>
      </w:tr>
      <w:tr>
        <w:trPr/>
        <w:tc>
          <w:tcPr>
            <w:tcW w:w="1655" w:type="dxa"/>
            <w:tcBorders/>
          </w:tcPr>
          <w:p>
            <w:pPr>
              <w:pStyle w:val="TableContents"/>
              <w:bidi w:val="0"/>
              <w:spacing w:before="0" w:after="0"/>
              <w:jc w:val="left"/>
              <w:rPr>
                <w:rFonts w:ascii="Times New Roman" w:hAnsi="Times New Roman"/>
                <w:sz w:val="20"/>
              </w:rPr>
            </w:pPr>
            <w:r>
              <w:rPr>
                <w:rFonts w:ascii="Times New Roman" w:hAnsi="Times New Roman"/>
                <w:sz w:val="20"/>
              </w:rPr>
              <w:t>San Diego Electrical Industry Health &amp; Welfare Plan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95-6035916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r>
      <w:tr>
        <w:trPr/>
        <w:tc>
          <w:tcPr>
            <w:tcW w:w="1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plans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4,734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5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20,492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14,130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44,268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5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assessed whether any of its contributions to the significant plans listed above constituted five percent or more of the total contributions to these plans. This assessment was based on the Forms 5500 of these plans for the years ended December 31, 2024 and 2023. The Company’s contributions to Kern County Electrical Benefits Fund represented at least five percent of the plans’ total contributions in the 2024 period and contributions to California Ironworkers Field Pension Trust and IBEW Local 100 Pension Plan represented at least 5% of the plans’ total contributions in the 2023 period. None of the Forms 5500 of these plans were yet available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Total contributions made to all of these multiemployer plans correspond to the number of union employees employed at any given time and the plans in which they participate and participation in project labor agreements and vary depending upon the location and number of ongoing projects at a given time and the need for union resources or project labor agreements in connection with such projects. Contributions to such plans are also impacted by business combinations and changes in employer contribution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401(k)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401(k) plans whereby employees may contribute a percentage of their compensation, not to exceed the maximum amount allowable under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elect to make matching or other contributions into the savings plan. Contributions made by the Company to the 401(k) plans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67"/>
        <w:gridCol w:w="263"/>
        <w:gridCol w:w="144"/>
        <w:gridCol w:w="728"/>
        <w:gridCol w:w="61"/>
        <w:gridCol w:w="265"/>
        <w:gridCol w:w="144"/>
        <w:gridCol w:w="581"/>
        <w:gridCol w:w="61"/>
        <w:gridCol w:w="265"/>
        <w:gridCol w:w="143"/>
        <w:gridCol w:w="585"/>
        <w:gridCol w:w="65"/>
      </w:tblGrid>
      <w:tr>
        <w:trPr/>
        <w:tc>
          <w:tcPr>
            <w:tcW w:w="5267"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6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97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26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Employer contributions</w:t>
            </w:r>
          </w:p>
        </w:tc>
        <w:tc>
          <w:tcPr>
            <w:tcW w:w="26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10,869</w:t>
            </w:r>
          </w:p>
        </w:tc>
        <w:tc>
          <w:tcPr>
            <w:tcW w:w="6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4,360</w:t>
            </w:r>
          </w:p>
        </w:tc>
        <w:tc>
          <w:tcPr>
            <w:tcW w:w="6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3,819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employer contributions during the year ended December 31, 2025 was primarily attributable to discretionary profit sharing contributions.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Member’s 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holds 100% of the limited liability company interests of the Company. SOLV Energy Parent Holdings LP’s interests are generally consistent with ordinary equity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a share-based compensation plan, held by SOLV Energy Parent Holdings, LP, a parent holding company above the consolidation of the Company. The presentation of unit-based equity awards is represented in the caption, Member’s equity,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Refer to Note 11—</w:t>
      </w:r>
      <w:r>
        <w:rPr>
          <w:rFonts w:ascii="Times New Roman" w:hAnsi="Times New Roman"/>
          <w:i/>
          <w:sz w:val="20"/>
        </w:rPr>
        <w:t>Employee Benefit Plans</w:t>
      </w:r>
      <w:r>
        <w:rPr>
          <w:rFonts w:ascii="Times New Roman" w:hAnsi="Times New Roman"/>
          <w:sz w:val="20"/>
        </w:rPr>
        <w:t xml:space="preserve"> for the reconciliation of outstanding awards under the plan as well as details related to share-based compensation.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involved in various lawsuits, claims, inquiries and other regulatory and compliance matters, most of which are routine to the nature of the Company’s business. When it is probable that a loss will be incurred and where a range of the loss can be reasonably estimated, the best estimate within the range is accrued. </w:t>
      </w:r>
    </w:p>
    <w:p>
      <w:pPr>
        <w:pStyle w:val="TextBody"/>
        <w:bidi w:val="0"/>
        <w:spacing w:before="240" w:after="0"/>
        <w:jc w:val="left"/>
        <w:rPr>
          <w:rFonts w:ascii="Times New Roman" w:hAnsi="Times New Roman"/>
          <w:sz w:val="20"/>
        </w:rPr>
      </w:pPr>
      <w:r>
        <w:rPr>
          <w:rFonts w:ascii="Times New Roman" w:hAnsi="Times New Roman"/>
          <w:sz w:val="20"/>
        </w:rPr>
        <w:t xml:space="preserve">When the best estimate within the range cannot be determined, the low end of the range is accrued. The ultimate resolution of these claims could affect future results of operations should the Company’s exposure be materially different from its estimates or should liabilities be incurred that were not previously accrued. Potential insurance reimbursements are not offset against potential liabilities.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uncertainties associated with claims resolution and litigation, future expenses to resolve these matters could be higher than the liabilities accrued; however, the Company is unable to reasonably estimate a range of potential expenses. </w:t>
      </w:r>
    </w:p>
    <w:p>
      <w:pPr>
        <w:pStyle w:val="TextBody"/>
        <w:bidi w:val="0"/>
        <w:spacing w:before="240" w:after="0"/>
        <w:jc w:val="left"/>
        <w:rPr>
          <w:rFonts w:ascii="Times New Roman" w:hAnsi="Times New Roman"/>
          <w:sz w:val="20"/>
        </w:rPr>
      </w:pPr>
      <w:r>
        <w:rPr>
          <w:rFonts w:ascii="Times New Roman" w:hAnsi="Times New Roman"/>
          <w:sz w:val="20"/>
        </w:rPr>
        <w:t xml:space="preserve">If information were to become available that allowed the Company to reasonably estimate a range of potential expenses in an amount higher or lower than what was accrued, the Company would adjust its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upon current information, the Company concluded that the impact of the resolution of these matters would not be, individually or in the aggregate, material to the Company’s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Warranties </w:t>
      </w:r>
    </w:p>
    <w:p>
      <w:pPr>
        <w:pStyle w:val="TextBody"/>
        <w:bidi w:val="0"/>
        <w:spacing w:before="120" w:after="0"/>
        <w:jc w:val="left"/>
        <w:rPr>
          <w:rFonts w:ascii="Times New Roman" w:hAnsi="Times New Roman"/>
          <w:sz w:val="20"/>
        </w:rPr>
      </w:pPr>
      <w:r>
        <w:rPr>
          <w:rFonts w:ascii="Times New Roman" w:hAnsi="Times New Roman"/>
          <w:sz w:val="20"/>
        </w:rPr>
        <w:t>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16—</w:t>
      </w:r>
      <w:r>
        <w:rPr>
          <w:rFonts w:ascii="Times New Roman" w:hAnsi="Times New Roman"/>
          <w:i/>
          <w:sz w:val="20"/>
        </w:rPr>
        <w:t>Details of Certain Accounts</w:t>
      </w:r>
      <w:r>
        <w:rPr>
          <w:rFonts w:ascii="Times New Roman" w:hAnsi="Times New Roman"/>
          <w:sz w:val="20"/>
        </w:rPr>
        <w:t xml:space="preserve"> for warranty reserves recorded on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Risks </w:t>
      </w:r>
    </w:p>
    <w:p>
      <w:pPr>
        <w:pStyle w:val="TextBody"/>
        <w:bidi w:val="0"/>
        <w:spacing w:before="12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primarily of contract receivables including retention. In the normal course of business, the Company provides credit to its customers and does not generally require collateral. The Company monitors concentrations of credit risk associated with these receivables on an ongoing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historically experienced significant credit losses, due primarily to management’s assessment of customers’ credit ratings. The Company principally deals with recurring customers whose reputations are known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performs credit checks for significant new customers and generally requires progress payments for significant projects. The following customers each comprised 10% or more of the Company’s total accounts receivable: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47"/>
        <w:gridCol w:w="511"/>
        <w:gridCol w:w="131"/>
        <w:gridCol w:w="840"/>
        <w:gridCol w:w="602"/>
        <w:gridCol w:w="522"/>
        <w:gridCol w:w="131"/>
        <w:gridCol w:w="842"/>
        <w:gridCol w:w="279"/>
      </w:tblGrid>
      <w:tr>
        <w:trPr/>
        <w:tc>
          <w:tcPr>
            <w:tcW w:w="6347"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347"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30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9" w:type="dxa"/>
            <w:tcBorders/>
            <w:vAlign w:val="bottom"/>
          </w:tcPr>
          <w:p>
            <w:pPr>
              <w:pStyle w:val="TableContents"/>
              <w:bidi w:val="0"/>
              <w:spacing w:before="0" w:after="283"/>
              <w:jc w:val="left"/>
              <w:rPr/>
            </w:pPr>
            <w:r>
              <w:rPr/>
              <w:t> </w:t>
            </w:r>
          </w:p>
        </w:tc>
      </w:tr>
      <w:tr>
        <w:trPr/>
        <w:tc>
          <w:tcPr>
            <w:tcW w:w="6347"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511"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21</w:t>
            </w:r>
          </w:p>
        </w:tc>
        <w:tc>
          <w:tcPr>
            <w:tcW w:w="60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6347" w:type="dxa"/>
            <w:tcBorders/>
          </w:tcPr>
          <w:p>
            <w:pPr>
              <w:pStyle w:val="TableContents"/>
              <w:bidi w:val="0"/>
              <w:spacing w:before="0" w:after="0"/>
              <w:jc w:val="left"/>
              <w:rPr>
                <w:rFonts w:ascii="Times New Roman" w:hAnsi="Times New Roman"/>
                <w:sz w:val="20"/>
              </w:rPr>
            </w:pPr>
            <w:r>
              <w:rPr>
                <w:rFonts w:ascii="Times New Roman" w:hAnsi="Times New Roman"/>
                <w:sz w:val="20"/>
              </w:rPr>
              <w:t>Customer E</w:t>
            </w:r>
          </w:p>
        </w:tc>
        <w:tc>
          <w:tcPr>
            <w:tcW w:w="511"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60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15</w:t>
            </w:r>
          </w:p>
        </w:tc>
        <w:tc>
          <w:tcPr>
            <w:tcW w:w="279" w:type="dxa"/>
            <w:tcBorders/>
            <w:vAlign w:val="bottom"/>
          </w:tcPr>
          <w:p>
            <w:pPr>
              <w:pStyle w:val="TableContents"/>
              <w:bidi w:val="0"/>
              <w:spacing w:before="0" w:after="283"/>
              <w:jc w:val="left"/>
              <w:rPr/>
            </w:pPr>
            <w:r>
              <w:rPr/>
              <w:t>% </w:t>
            </w:r>
          </w:p>
        </w:tc>
      </w:tr>
      <w:tr>
        <w:trPr/>
        <w:tc>
          <w:tcPr>
            <w:tcW w:w="63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F</w:t>
            </w:r>
          </w:p>
        </w:tc>
        <w:tc>
          <w:tcPr>
            <w:tcW w:w="511"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602"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64</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Customer 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customers each comprised 10% or more of the Company’s total revenue from external customers for the year ended December 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9"/>
        <w:gridCol w:w="311"/>
        <w:gridCol w:w="80"/>
        <w:gridCol w:w="512"/>
        <w:gridCol w:w="367"/>
        <w:gridCol w:w="276"/>
        <w:gridCol w:w="80"/>
        <w:gridCol w:w="512"/>
        <w:gridCol w:w="367"/>
        <w:gridCol w:w="276"/>
        <w:gridCol w:w="79"/>
        <w:gridCol w:w="516"/>
        <w:gridCol w:w="280"/>
      </w:tblGrid>
      <w:tr>
        <w:trPr/>
        <w:tc>
          <w:tcPr>
            <w:tcW w:w="6549"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549"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0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0" w:type="dxa"/>
            <w:tcBorders/>
            <w:vAlign w:val="bottom"/>
          </w:tcPr>
          <w:p>
            <w:pPr>
              <w:pStyle w:val="TableContents"/>
              <w:bidi w:val="0"/>
              <w:spacing w:before="0" w:after="283"/>
              <w:jc w:val="left"/>
              <w:rPr/>
            </w:pPr>
            <w:r>
              <w:rPr/>
              <w:t> </w:t>
            </w:r>
          </w:p>
        </w:tc>
      </w:tr>
      <w:tr>
        <w:trPr/>
        <w:tc>
          <w:tcPr>
            <w:tcW w:w="6549"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0" w:type="dxa"/>
            <w:tcBorders/>
            <w:vAlign w:val="bottom"/>
          </w:tcPr>
          <w:p>
            <w:pPr>
              <w:pStyle w:val="TableContents"/>
              <w:bidi w:val="0"/>
              <w:spacing w:before="0" w:after="283"/>
              <w:jc w:val="left"/>
              <w:rPr/>
            </w:pPr>
            <w:r>
              <w:rPr/>
              <w:t> </w:t>
            </w:r>
          </w:p>
        </w:tc>
      </w:tr>
      <w:tr>
        <w:trPr/>
        <w:tc>
          <w:tcPr>
            <w:tcW w:w="6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31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14</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6549" w:type="dxa"/>
            <w:tcBorders/>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31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13</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14</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6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D</w:t>
            </w:r>
          </w:p>
        </w:tc>
        <w:tc>
          <w:tcPr>
            <w:tcW w:w="31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10</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6549" w:type="dxa"/>
            <w:tcBorders/>
          </w:tcPr>
          <w:p>
            <w:pPr>
              <w:pStyle w:val="TableContents"/>
              <w:bidi w:val="0"/>
              <w:spacing w:before="0" w:after="0"/>
              <w:jc w:val="left"/>
              <w:rPr>
                <w:rFonts w:ascii="Times New Roman" w:hAnsi="Times New Roman"/>
                <w:sz w:val="20"/>
              </w:rPr>
            </w:pPr>
            <w:r>
              <w:rPr>
                <w:rFonts w:ascii="Times New Roman" w:hAnsi="Times New Roman"/>
                <w:sz w:val="20"/>
              </w:rPr>
              <w:t>Customer E</w:t>
            </w:r>
          </w:p>
        </w:tc>
        <w:tc>
          <w:tcPr>
            <w:tcW w:w="31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15</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18</w:t>
            </w:r>
          </w:p>
        </w:tc>
        <w:tc>
          <w:tcPr>
            <w:tcW w:w="280" w:type="dxa"/>
            <w:tcBorders/>
            <w:vAlign w:val="bottom"/>
          </w:tcPr>
          <w:p>
            <w:pPr>
              <w:pStyle w:val="TableContents"/>
              <w:bidi w:val="0"/>
              <w:spacing w:before="0" w:after="283"/>
              <w:jc w:val="left"/>
              <w:rPr/>
            </w:pPr>
            <w:r>
              <w:rPr/>
              <w:t>% </w:t>
            </w:r>
          </w:p>
        </w:tc>
      </w:tr>
      <w:tr>
        <w:trPr/>
        <w:tc>
          <w:tcPr>
            <w:tcW w:w="6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G</w:t>
            </w:r>
          </w:p>
        </w:tc>
        <w:tc>
          <w:tcPr>
            <w:tcW w:w="31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12</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6549" w:type="dxa"/>
            <w:tcBorders/>
          </w:tcPr>
          <w:p>
            <w:pPr>
              <w:pStyle w:val="TableContents"/>
              <w:bidi w:val="0"/>
              <w:spacing w:before="0" w:after="0"/>
              <w:jc w:val="left"/>
              <w:rPr>
                <w:rFonts w:ascii="Times New Roman" w:hAnsi="Times New Roman"/>
                <w:sz w:val="20"/>
              </w:rPr>
            </w:pPr>
            <w:r>
              <w:rPr>
                <w:rFonts w:ascii="Times New Roman" w:hAnsi="Times New Roman"/>
                <w:sz w:val="20"/>
              </w:rPr>
              <w:t>Customer H</w:t>
            </w:r>
          </w:p>
        </w:tc>
        <w:tc>
          <w:tcPr>
            <w:tcW w:w="31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12</w:t>
            </w:r>
          </w:p>
        </w:tc>
        <w:tc>
          <w:tcPr>
            <w:tcW w:w="36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6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I</w:t>
            </w:r>
          </w:p>
        </w:tc>
        <w:tc>
          <w:tcPr>
            <w:tcW w:w="31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14</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Production Risk </w:t>
      </w:r>
    </w:p>
    <w:p>
      <w:pPr>
        <w:pStyle w:val="TextBody"/>
        <w:bidi w:val="0"/>
        <w:spacing w:before="120" w:after="0"/>
        <w:jc w:val="left"/>
        <w:rPr>
          <w:rFonts w:ascii="Times New Roman" w:hAnsi="Times New Roman"/>
          <w:sz w:val="20"/>
        </w:rPr>
      </w:pPr>
      <w:r>
        <w:rPr>
          <w:rFonts w:ascii="Times New Roman" w:hAnsi="Times New Roman"/>
          <w:sz w:val="20"/>
        </w:rPr>
        <w:t xml:space="preserve">Several of the Company’s key raw materials, components and manufacturing equipment are either single-sourced or sourced from a limited number of suppliers. Shortages of essential components and equipment could occur due to increases in demand or interruptions of supply, which may be exacerbated by the availability of logistics services, thereby adversely affecting the Company’s ability to meet customer demand for its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a minority investor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several payments to a minority investor subsequent to the Carve-out, which are summarized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05"/>
        <w:gridCol w:w="159"/>
        <w:gridCol w:w="147"/>
        <w:gridCol w:w="430"/>
        <w:gridCol w:w="63"/>
        <w:gridCol w:w="163"/>
        <w:gridCol w:w="147"/>
        <w:gridCol w:w="725"/>
        <w:gridCol w:w="63"/>
        <w:gridCol w:w="163"/>
        <w:gridCol w:w="147"/>
        <w:gridCol w:w="729"/>
        <w:gridCol w:w="64"/>
      </w:tblGrid>
      <w:tr>
        <w:trPr/>
        <w:tc>
          <w:tcPr>
            <w:tcW w:w="720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20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7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1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34,144</w:t>
            </w:r>
          </w:p>
        </w:tc>
        <w:tc>
          <w:tcPr>
            <w:tcW w:w="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20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1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33,826</w:t>
            </w:r>
          </w:p>
        </w:tc>
        <w:tc>
          <w:tcPr>
            <w:tcW w:w="64" w:type="dxa"/>
            <w:tcBorders/>
            <w:vAlign w:val="bottom"/>
          </w:tcPr>
          <w:p>
            <w:pPr>
              <w:pStyle w:val="TableContents"/>
              <w:bidi w:val="0"/>
              <w:spacing w:before="0" w:after="283"/>
              <w:jc w:val="left"/>
              <w:rPr/>
            </w:pPr>
            <w:r>
              <w:rPr/>
              <w:t> </w:t>
            </w:r>
          </w:p>
        </w:tc>
      </w:tr>
      <w:tr>
        <w:trPr/>
        <w:tc>
          <w:tcPr>
            <w:tcW w:w="7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34,144</w:t>
            </w:r>
          </w:p>
        </w:tc>
        <w:tc>
          <w:tcPr>
            <w:tcW w:w="6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33,826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paid a minority investor for transition services rendered after the Carve-out. The Company made deferred acquisition payments in two installments, with the first paid in December 2022 and the final payment made in January 2024. An earned profit payment for majority-completed EPC projects assigned to the Company in the Carve-out (contingent consideration) was settled in March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owed amounts to a minority investor for commercial insurance premiums paid on behalf of the Company on certain EPC projects pursuant to the Carve-out.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4"/>
        <w:gridCol w:w="257"/>
        <w:gridCol w:w="194"/>
        <w:gridCol w:w="582"/>
        <w:gridCol w:w="83"/>
        <w:gridCol w:w="294"/>
        <w:gridCol w:w="194"/>
        <w:gridCol w:w="783"/>
        <w:gridCol w:w="64"/>
      </w:tblGrid>
      <w:tr>
        <w:trPr/>
        <w:tc>
          <w:tcPr>
            <w:tcW w:w="7754"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5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775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7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minority investor</w:t>
            </w:r>
          </w:p>
        </w:tc>
        <w:tc>
          <w:tcPr>
            <w:tcW w:w="25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582"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4,739</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amounts receivable from a minority investor as follows, which are included in “Prepaids and other current assets”: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93"/>
        <w:gridCol w:w="255"/>
        <w:gridCol w:w="171"/>
        <w:gridCol w:w="699"/>
        <w:gridCol w:w="73"/>
        <w:gridCol w:w="276"/>
        <w:gridCol w:w="171"/>
        <w:gridCol w:w="702"/>
        <w:gridCol w:w="65"/>
      </w:tblGrid>
      <w:tr>
        <w:trPr/>
        <w:tc>
          <w:tcPr>
            <w:tcW w:w="7793"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7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0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77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77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25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2,987</w:t>
            </w:r>
          </w:p>
        </w:tc>
        <w:tc>
          <w:tcPr>
            <w:tcW w:w="7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702" w:type="dxa"/>
            <w:tcBorders/>
            <w:shd w:fill="CCEEFF" w:val="clear"/>
            <w:vAlign w:val="bottom"/>
          </w:tcPr>
          <w:p>
            <w:pPr>
              <w:pStyle w:val="TableContents"/>
              <w:bidi w:val="0"/>
              <w:spacing w:before="0" w:after="283"/>
              <w:jc w:val="right"/>
              <w:rPr/>
            </w:pPr>
            <w:r>
              <w:rPr/>
              <w:t>2,987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On December 20, 2025, SOLV Energy Parent Holdings LP redeemed the units held by a minority investor in exchange for a $112,500 note secured by a first priority lien on all of SOLV Energy Parent Holdings LP’s assets, including its equity interests in the Company. The note was subsequently settled in January 2026, see Note 18—</w:t>
      </w:r>
      <w:r>
        <w:rPr>
          <w:rFonts w:ascii="Times New Roman" w:hAnsi="Times New Roman"/>
          <w:i/>
          <w:sz w:val="20"/>
        </w:rPr>
        <w:t>Subsequent Events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Transactions with American Securities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CS Merger, American Securities was party to separate management consulting agreements with each of CS Energy (the “CS Consulting Agreement”) and SOLV (the “SOLV Consulting Agreement” and together with the CS Consulting Agreement, the “Consulting Agreements”), pursuant to which American Securities agreed to provide certain management and legal services to both CS Energy and SOLV in exchange for an aggregate annual fee of $3,000 in equal quarterly cash installments, plus reimbursable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the CS Consulting Agreement was terminated and the SOLV Consulting Agreement was amended to increase the annual fee to $3,000, payable in equal quarterly cash installments. Payments made to American Securities under the Consulting Agreements during the years ended December 31, 2025, 2024 and 2023 are included in “Selling,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In connection with the redemption of the minority investor units noted above, SOLV Energy, LLC entered into a loan agreement, dated as of January 5, 2026, with affiliated funds of American Securities. See Note 18—</w:t>
      </w:r>
      <w:r>
        <w:rPr>
          <w:rFonts w:ascii="Times New Roman" w:hAnsi="Times New Roman"/>
          <w:i/>
          <w:sz w:val="20"/>
        </w:rPr>
        <w:t>Subsequent Events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SDI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2025, the Company acquired 100% of the ownership interests in SDI, a solar predrill and pile foundation installation contractor based in Sacramento, California. The aggregate consideration for the acquisition was approximately $16,941, of which approximately $11,154 was paid in cash at closing and $5,500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Simultaneous with the acquisition, SDI and the Company entered into an equipment financing transaction with a specialized equipment finance provider to borrow approximately $14,500 against construction equipment owned by SDI. The proceeds were primarily used to fund the closing payment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allocated the acquisition consideration to assets acquired and liabilities assumed based on their estimated fair values as of the acquisition date. The estimated fair value of the acquired tangible and identifiable intangible assets were determined based on inputs that are unobservable and significant to the overall fair value measurement. It is also based on estimates and assumptions made by management at the time of the acquisition. As such, the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acquired identifiable intangible assets of $1,260, which consist primarily of $370 of trade names to be amortized over 5 years, $600 of customer relationships to be amortized over 4 years and $290 of backlog to be amortized over 1 year. </w:t>
      </w:r>
    </w:p>
    <w:p>
      <w:pPr>
        <w:pStyle w:val="TextBody"/>
        <w:bidi w:val="0"/>
        <w:spacing w:before="240" w:after="0"/>
        <w:jc w:val="left"/>
        <w:rPr>
          <w:rFonts w:ascii="Times New Roman" w:hAnsi="Times New Roman"/>
          <w:sz w:val="20"/>
        </w:rPr>
      </w:pPr>
      <w:r>
        <w:rPr>
          <w:rFonts w:ascii="Times New Roman" w:hAnsi="Times New Roman"/>
          <w:sz w:val="20"/>
        </w:rPr>
        <w:t xml:space="preserve">The excess of the purchase price over the estimated fair value of the assets acquired and liabilities assumed is assigned to goodwill. The acquisition resulted in the recognition of $691 of goodwill. The estimated goodwill was established due to expected cost synergies, optimized installation and improved operational efficiency. Goodwill recorded for the SDI acquisition is not expected to be deductible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summary of the SDI purchase price allocation to assets acquired and liabilities assumed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05"/>
        <w:gridCol w:w="355"/>
        <w:gridCol w:w="140"/>
        <w:gridCol w:w="778"/>
        <w:gridCol w:w="161"/>
      </w:tblGrid>
      <w:tr>
        <w:trPr/>
        <w:tc>
          <w:tcPr>
            <w:tcW w:w="5505"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8" w:type="dxa"/>
            <w:tcBorders/>
            <w:shd w:fill="CCEEFF" w:val="clear"/>
          </w:tcPr>
          <w:p>
            <w:pPr>
              <w:pStyle w:val="TableContents"/>
              <w:bidi w:val="0"/>
              <w:spacing w:before="0" w:after="283"/>
              <w:jc w:val="left"/>
              <w:rPr>
                <w:sz w:val="4"/>
                <w:szCs w:val="4"/>
              </w:rPr>
            </w:pPr>
            <w:r>
              <w:rPr>
                <w:sz w:val="4"/>
                <w:szCs w:val="4"/>
              </w:rPr>
            </w:r>
          </w:p>
        </w:tc>
        <w:tc>
          <w:tcPr>
            <w:tcW w:w="161" w:type="dxa"/>
            <w:tcBorders/>
            <w:shd w:fill="CCEEFF" w:val="clear"/>
          </w:tcPr>
          <w:p>
            <w:pPr>
              <w:pStyle w:val="TableContents"/>
              <w:bidi w:val="0"/>
              <w:spacing w:before="0" w:after="283"/>
              <w:jc w:val="left"/>
              <w:rPr>
                <w:sz w:val="4"/>
                <w:szCs w:val="4"/>
              </w:rPr>
            </w:pPr>
            <w:r>
              <w:rPr>
                <w:sz w:val="4"/>
                <w:szCs w:val="4"/>
              </w:rPr>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685</w:t>
            </w:r>
          </w:p>
        </w:tc>
        <w:tc>
          <w:tcPr>
            <w:tcW w:w="161"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4,618</w:t>
            </w:r>
          </w:p>
        </w:tc>
        <w:tc>
          <w:tcPr>
            <w:tcW w:w="161"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3,608</w:t>
            </w:r>
          </w:p>
        </w:tc>
        <w:tc>
          <w:tcPr>
            <w:tcW w:w="161"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204</w:t>
            </w:r>
          </w:p>
        </w:tc>
        <w:tc>
          <w:tcPr>
            <w:tcW w:w="161"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16,942</w:t>
            </w:r>
          </w:p>
        </w:tc>
        <w:tc>
          <w:tcPr>
            <w:tcW w:w="161"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312</w:t>
            </w:r>
          </w:p>
        </w:tc>
        <w:tc>
          <w:tcPr>
            <w:tcW w:w="161"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1,260</w:t>
            </w:r>
          </w:p>
        </w:tc>
        <w:tc>
          <w:tcPr>
            <w:tcW w:w="161"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(10,968</w:t>
            </w:r>
          </w:p>
        </w:tc>
        <w:tc>
          <w:tcPr>
            <w:tcW w:w="161"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(99</w:t>
            </w:r>
          </w:p>
        </w:tc>
        <w:tc>
          <w:tcPr>
            <w:tcW w:w="161" w:type="dxa"/>
            <w:tcBorders/>
            <w:vAlign w:val="bottom"/>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(312</w:t>
            </w:r>
          </w:p>
        </w:tc>
        <w:tc>
          <w:tcPr>
            <w:tcW w:w="161" w:type="dxa"/>
            <w:tcBorders/>
            <w:shd w:fill="CCEEFF" w:val="clear"/>
            <w:vAlign w:val="bottom"/>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 assumed</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16,250</w:t>
            </w:r>
          </w:p>
        </w:tc>
        <w:tc>
          <w:tcPr>
            <w:tcW w:w="161" w:type="dxa"/>
            <w:tcBorders/>
            <w:vAlign w:val="bottom"/>
          </w:tcPr>
          <w:p>
            <w:pPr>
              <w:pStyle w:val="TableContents"/>
              <w:bidi w:val="0"/>
              <w:spacing w:before="0" w:after="283"/>
              <w:jc w:val="left"/>
              <w:rPr/>
            </w:pPr>
            <w:r>
              <w:rPr/>
              <w:t> </w:t>
            </w:r>
          </w:p>
        </w:tc>
      </w:tr>
      <w:tr>
        <w:trPr/>
        <w:tc>
          <w:tcPr>
            <w:tcW w:w="550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691</w:t>
            </w:r>
          </w:p>
        </w:tc>
        <w:tc>
          <w:tcPr>
            <w:tcW w:w="161" w:type="dxa"/>
            <w:tcBorders/>
            <w:shd w:fill="CCEEFF" w:val="clear"/>
            <w:vAlign w:val="bottom"/>
          </w:tcPr>
          <w:p>
            <w:pPr>
              <w:pStyle w:val="TableContents"/>
              <w:bidi w:val="0"/>
              <w:spacing w:before="0" w:after="283"/>
              <w:jc w:val="left"/>
              <w:rPr/>
            </w:pPr>
            <w:r>
              <w:rPr/>
              <w:t> </w:t>
            </w:r>
          </w:p>
        </w:tc>
      </w:tr>
      <w:tr>
        <w:trPr/>
        <w:tc>
          <w:tcPr>
            <w:tcW w:w="550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505"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16,941</w:t>
            </w:r>
          </w:p>
        </w:tc>
        <w:tc>
          <w:tcPr>
            <w:tcW w:w="161" w:type="dxa"/>
            <w:tcBorders/>
            <w:vAlign w:val="bottom"/>
          </w:tcPr>
          <w:p>
            <w:pPr>
              <w:pStyle w:val="TableContents"/>
              <w:bidi w:val="0"/>
              <w:spacing w:before="0" w:after="283"/>
              <w:jc w:val="left"/>
              <w:rPr/>
            </w:pPr>
            <w:r>
              <w:rPr/>
              <w:t> </w:t>
            </w:r>
          </w:p>
        </w:tc>
      </w:tr>
      <w:tr>
        <w:trPr/>
        <w:tc>
          <w:tcPr>
            <w:tcW w:w="550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 acquired net of cash and cash equivalents</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8" w:type="dxa"/>
            <w:tcBorders/>
            <w:shd w:fill="CCEEFF" w:val="clear"/>
            <w:vAlign w:val="bottom"/>
          </w:tcPr>
          <w:p>
            <w:pPr>
              <w:pStyle w:val="TableContents"/>
              <w:bidi w:val="0"/>
              <w:spacing w:before="0" w:after="283"/>
              <w:jc w:val="right"/>
              <w:rPr/>
            </w:pPr>
            <w:r>
              <w:rPr/>
              <w:t>16,256</w:t>
            </w:r>
          </w:p>
        </w:tc>
        <w:tc>
          <w:tcPr>
            <w:tcW w:w="161" w:type="dxa"/>
            <w:tcBorders/>
            <w:shd w:fill="CCEEFF" w:val="clear"/>
            <w:vAlign w:val="bottom"/>
          </w:tcPr>
          <w:p>
            <w:pPr>
              <w:pStyle w:val="TableContents"/>
              <w:bidi w:val="0"/>
              <w:spacing w:before="0" w:after="283"/>
              <w:jc w:val="left"/>
              <w:rPr/>
            </w:pPr>
            <w:r>
              <w:rPr/>
              <w:t> </w:t>
            </w:r>
          </w:p>
        </w:tc>
      </w:tr>
      <w:tr>
        <w:trPr/>
        <w:tc>
          <w:tcPr>
            <w:tcW w:w="550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consolidated financial statements include SDI’s revenue and net loss of $67,933 and $455, respectively, from the date of acquisition through December 31, 2025 for the periods presented within. </w:t>
      </w:r>
    </w:p>
    <w:p>
      <w:pPr>
        <w:pStyle w:val="TextBody"/>
        <w:bidi w:val="0"/>
        <w:spacing w:before="240" w:after="0"/>
        <w:jc w:val="left"/>
        <w:rPr>
          <w:rFonts w:ascii="Times New Roman" w:hAnsi="Times New Roman"/>
          <w:sz w:val="20"/>
        </w:rPr>
      </w:pPr>
      <w:r>
        <w:rPr>
          <w:rFonts w:ascii="Times New Roman" w:hAnsi="Times New Roman"/>
          <w:sz w:val="20"/>
        </w:rPr>
        <w:t xml:space="preserve">Pro forma financial information has not been presented for the SDI acquisition as the impact to the Company’s consolidated financial statements was not 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2025 and 2024, the Company incurred and expensed $113 and $1,912 of acquisition related costs in connection to the SDI acquisition. Such costs are included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Spartan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June 13, 2025, the Company acquired 100% of the equity interests of Spartan for an approximate acquisition purchase price of $67,006, which was paid in cash at closing. Spartan specializes in providing services related to infrastructure development and investment. Specifically, the company self-performs electrical transmission construction services and provides procurement and subcontracting engineering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preliminarily allocated the acquisition consideration to assets acquired and liabilities assumed based on their estimated fair values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estimated fair value of the acquired tangible and identifiable intangible assets was determined based on inputs that are unobservable and significant to the overall fair value measurement. It was also based on estimates and assumptions made by management at the time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acquired identifiable intangible assets of $20,300, which consist primarily of $2,600 of trade names to be amortized over 3 years, $14,800 of customer relationships to be amortized over 13 years and $2,900 of backlog to be amortized over 1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excess of the purchase price over the estimated fair value of the assets acquired and liabilities assumed is assigned to goodwill. The acquisition resulted in the recognition of $18,581 of goodwill. The estimated goodwill was established due to expected cost synergies, anticipated growth of new customers, and expansion of equipment portfolio and process technology offerings. Goodwill recorded for the Spartan acquisition is not expected to be deductible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Spartan purchase price allocation below is preliminary with respect to the valuation of certain acquired intangible assets and the determination of related deferred tax assets and liabilities. The Company is continuing to evaluate information necessary to finalize the fair values of acquired identifiable intangible assets and the related income tax effects. The purchase price allocation will be finalized during the measurement period, which will not exceed 12 months from the acquisition date. Any adjustments recorded during the measurement period may be material and will be recorded retrospectively as if the accounting had been completed at the acquisition date, with a corresponding adjustment to goodwill.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Spartan purchase price allocation to assets acquired and liabilities assumed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75"/>
        <w:gridCol w:w="147"/>
        <w:gridCol w:w="140"/>
        <w:gridCol w:w="685"/>
        <w:gridCol w:w="158"/>
      </w:tblGrid>
      <w:tr>
        <w:trPr/>
        <w:tc>
          <w:tcPr>
            <w:tcW w:w="907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0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22,431</w:t>
            </w:r>
          </w:p>
        </w:tc>
        <w:tc>
          <w:tcPr>
            <w:tcW w:w="158" w:type="dxa"/>
            <w:tcBorders/>
            <w:vAlign w:val="bottom"/>
          </w:tcPr>
          <w:p>
            <w:pPr>
              <w:pStyle w:val="TableContents"/>
              <w:bidi w:val="0"/>
              <w:spacing w:before="0" w:after="283"/>
              <w:jc w:val="left"/>
              <w:rPr/>
            </w:pPr>
            <w:r>
              <w:rPr/>
              <w:t> </w:t>
            </w:r>
          </w:p>
        </w:tc>
      </w:tr>
      <w:tr>
        <w:trPr/>
        <w:tc>
          <w:tcPr>
            <w:tcW w:w="9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8,369</w:t>
            </w:r>
          </w:p>
        </w:tc>
        <w:tc>
          <w:tcPr>
            <w:tcW w:w="158" w:type="dxa"/>
            <w:tcBorders/>
            <w:shd w:fill="CCEEFF" w:val="clear"/>
            <w:vAlign w:val="bottom"/>
          </w:tcPr>
          <w:p>
            <w:pPr>
              <w:pStyle w:val="TableContents"/>
              <w:bidi w:val="0"/>
              <w:spacing w:before="0" w:after="283"/>
              <w:jc w:val="left"/>
              <w:rPr/>
            </w:pPr>
            <w:r>
              <w:rPr/>
              <w:t> </w:t>
            </w:r>
          </w:p>
        </w:tc>
      </w:tr>
      <w:tr>
        <w:trPr/>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2,500</w:t>
            </w:r>
          </w:p>
        </w:tc>
        <w:tc>
          <w:tcPr>
            <w:tcW w:w="158" w:type="dxa"/>
            <w:tcBorders/>
            <w:vAlign w:val="bottom"/>
          </w:tcPr>
          <w:p>
            <w:pPr>
              <w:pStyle w:val="TableContents"/>
              <w:bidi w:val="0"/>
              <w:spacing w:before="0" w:after="283"/>
              <w:jc w:val="left"/>
              <w:rPr/>
            </w:pPr>
            <w:r>
              <w:rPr/>
              <w:t> </w:t>
            </w:r>
          </w:p>
        </w:tc>
      </w:tr>
      <w:tr>
        <w:trPr/>
        <w:tc>
          <w:tcPr>
            <w:tcW w:w="9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492</w:t>
            </w:r>
          </w:p>
        </w:tc>
        <w:tc>
          <w:tcPr>
            <w:tcW w:w="158" w:type="dxa"/>
            <w:tcBorders/>
            <w:shd w:fill="CCEEFF" w:val="clear"/>
            <w:vAlign w:val="bottom"/>
          </w:tcPr>
          <w:p>
            <w:pPr>
              <w:pStyle w:val="TableContents"/>
              <w:bidi w:val="0"/>
              <w:spacing w:before="0" w:after="283"/>
              <w:jc w:val="left"/>
              <w:rPr/>
            </w:pPr>
            <w:r>
              <w:rPr/>
              <w:t> </w:t>
            </w:r>
          </w:p>
        </w:tc>
      </w:tr>
      <w:tr>
        <w:trPr/>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7,262</w:t>
            </w:r>
          </w:p>
        </w:tc>
        <w:tc>
          <w:tcPr>
            <w:tcW w:w="158" w:type="dxa"/>
            <w:tcBorders/>
            <w:vAlign w:val="bottom"/>
          </w:tcPr>
          <w:p>
            <w:pPr>
              <w:pStyle w:val="TableContents"/>
              <w:bidi w:val="0"/>
              <w:spacing w:before="0" w:after="283"/>
              <w:jc w:val="left"/>
              <w:rPr/>
            </w:pPr>
            <w:r>
              <w:rPr/>
              <w:t> </w:t>
            </w:r>
          </w:p>
        </w:tc>
      </w:tr>
      <w:tr>
        <w:trPr/>
        <w:tc>
          <w:tcPr>
            <w:tcW w:w="9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20,300</w:t>
            </w:r>
          </w:p>
        </w:tc>
        <w:tc>
          <w:tcPr>
            <w:tcW w:w="158" w:type="dxa"/>
            <w:tcBorders/>
            <w:shd w:fill="CCEEFF" w:val="clear"/>
            <w:vAlign w:val="bottom"/>
          </w:tcPr>
          <w:p>
            <w:pPr>
              <w:pStyle w:val="TableContents"/>
              <w:bidi w:val="0"/>
              <w:spacing w:before="0" w:after="283"/>
              <w:jc w:val="left"/>
              <w:rPr/>
            </w:pPr>
            <w:r>
              <w:rPr/>
              <w:t> </w:t>
            </w:r>
          </w:p>
        </w:tc>
      </w:tr>
      <w:tr>
        <w:trPr/>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(3,771</w:t>
            </w:r>
          </w:p>
        </w:tc>
        <w:tc>
          <w:tcPr>
            <w:tcW w:w="158" w:type="dxa"/>
            <w:tcBorders/>
            <w:vAlign w:val="bottom"/>
          </w:tcPr>
          <w:p>
            <w:pPr>
              <w:pStyle w:val="TableContents"/>
              <w:bidi w:val="0"/>
              <w:spacing w:before="0" w:after="283"/>
              <w:jc w:val="left"/>
              <w:rPr/>
            </w:pPr>
            <w:r>
              <w:rPr/>
              <w:t>) </w:t>
            </w:r>
          </w:p>
        </w:tc>
      </w:tr>
      <w:tr>
        <w:trPr/>
        <w:tc>
          <w:tcPr>
            <w:tcW w:w="9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(1,986</w:t>
            </w:r>
          </w:p>
        </w:tc>
        <w:tc>
          <w:tcPr>
            <w:tcW w:w="158" w:type="dxa"/>
            <w:tcBorders/>
            <w:shd w:fill="CCEEFF" w:val="clear"/>
            <w:vAlign w:val="bottom"/>
          </w:tcPr>
          <w:p>
            <w:pPr>
              <w:pStyle w:val="TableContents"/>
              <w:bidi w:val="0"/>
              <w:spacing w:before="0" w:after="283"/>
              <w:jc w:val="left"/>
              <w:rPr/>
            </w:pPr>
            <w:r>
              <w:rPr/>
              <w:t>) </w:t>
            </w:r>
          </w:p>
        </w:tc>
      </w:tr>
      <w:tr>
        <w:trPr/>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(6,086</w:t>
            </w:r>
          </w:p>
        </w:tc>
        <w:tc>
          <w:tcPr>
            <w:tcW w:w="158" w:type="dxa"/>
            <w:tcBorders/>
            <w:vAlign w:val="bottom"/>
          </w:tcPr>
          <w:p>
            <w:pPr>
              <w:pStyle w:val="TableContents"/>
              <w:bidi w:val="0"/>
              <w:spacing w:before="0" w:after="283"/>
              <w:jc w:val="left"/>
              <w:rPr/>
            </w:pPr>
            <w:r>
              <w:rPr/>
              <w:t>) </w:t>
            </w:r>
          </w:p>
        </w:tc>
      </w:tr>
      <w:tr>
        <w:trPr/>
        <w:tc>
          <w:tcPr>
            <w:tcW w:w="9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(1,086</w:t>
            </w:r>
          </w:p>
        </w:tc>
        <w:tc>
          <w:tcPr>
            <w:tcW w:w="158" w:type="dxa"/>
            <w:tcBorders/>
            <w:shd w:fill="CCEEFF" w:val="clear"/>
            <w:vAlign w:val="bottom"/>
          </w:tcPr>
          <w:p>
            <w:pPr>
              <w:pStyle w:val="TableContents"/>
              <w:bidi w:val="0"/>
              <w:spacing w:before="0" w:after="283"/>
              <w:jc w:val="left"/>
              <w:rPr/>
            </w:pPr>
            <w:r>
              <w:rPr/>
              <w:t>) </w:t>
            </w:r>
          </w:p>
        </w:tc>
      </w:tr>
      <w:tr>
        <w:trPr/>
        <w:tc>
          <w:tcPr>
            <w:tcW w:w="90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9075"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 assumed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48,425</w:t>
            </w:r>
          </w:p>
        </w:tc>
        <w:tc>
          <w:tcPr>
            <w:tcW w:w="158" w:type="dxa"/>
            <w:tcBorders/>
            <w:vAlign w:val="bottom"/>
          </w:tcPr>
          <w:p>
            <w:pPr>
              <w:pStyle w:val="TableContents"/>
              <w:bidi w:val="0"/>
              <w:spacing w:before="0" w:after="283"/>
              <w:jc w:val="left"/>
              <w:rPr/>
            </w:pPr>
            <w:r>
              <w:rPr/>
              <w:t> </w:t>
            </w:r>
          </w:p>
        </w:tc>
      </w:tr>
      <w:tr>
        <w:trPr/>
        <w:tc>
          <w:tcPr>
            <w:tcW w:w="9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18,581</w:t>
            </w:r>
          </w:p>
        </w:tc>
        <w:tc>
          <w:tcPr>
            <w:tcW w:w="158" w:type="dxa"/>
            <w:tcBorders/>
            <w:shd w:fill="CCEEFF" w:val="clear"/>
            <w:vAlign w:val="bottom"/>
          </w:tcPr>
          <w:p>
            <w:pPr>
              <w:pStyle w:val="TableContents"/>
              <w:bidi w:val="0"/>
              <w:spacing w:before="0" w:after="283"/>
              <w:jc w:val="left"/>
              <w:rPr/>
            </w:pPr>
            <w:r>
              <w:rPr/>
              <w:t> </w:t>
            </w:r>
          </w:p>
        </w:tc>
      </w:tr>
      <w:tr>
        <w:trPr/>
        <w:tc>
          <w:tcPr>
            <w:tcW w:w="90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9075"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5" w:type="dxa"/>
            <w:tcBorders/>
            <w:vAlign w:val="bottom"/>
          </w:tcPr>
          <w:p>
            <w:pPr>
              <w:pStyle w:val="TableContents"/>
              <w:bidi w:val="0"/>
              <w:spacing w:before="0" w:after="283"/>
              <w:jc w:val="right"/>
              <w:rPr/>
            </w:pPr>
            <w:r>
              <w:rPr/>
              <w:t>67,006</w:t>
            </w:r>
          </w:p>
        </w:tc>
        <w:tc>
          <w:tcPr>
            <w:tcW w:w="158" w:type="dxa"/>
            <w:tcBorders/>
            <w:vAlign w:val="bottom"/>
          </w:tcPr>
          <w:p>
            <w:pPr>
              <w:pStyle w:val="TableContents"/>
              <w:bidi w:val="0"/>
              <w:spacing w:before="0" w:after="283"/>
              <w:jc w:val="left"/>
              <w:rPr/>
            </w:pPr>
            <w:r>
              <w:rPr/>
              <w:t> </w:t>
            </w:r>
          </w:p>
        </w:tc>
      </w:tr>
      <w:tr>
        <w:trPr/>
        <w:tc>
          <w:tcPr>
            <w:tcW w:w="90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90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 acquired net of cash and cash equivalents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44,575</w:t>
            </w:r>
          </w:p>
        </w:tc>
        <w:tc>
          <w:tcPr>
            <w:tcW w:w="158" w:type="dxa"/>
            <w:tcBorders/>
            <w:shd w:fill="CCEEFF" w:val="clear"/>
            <w:vAlign w:val="bottom"/>
          </w:tcPr>
          <w:p>
            <w:pPr>
              <w:pStyle w:val="TableContents"/>
              <w:bidi w:val="0"/>
              <w:spacing w:before="0" w:after="283"/>
              <w:jc w:val="left"/>
              <w:rPr/>
            </w:pPr>
            <w:r>
              <w:rPr/>
              <w:t> </w:t>
            </w:r>
          </w:p>
        </w:tc>
      </w:tr>
      <w:tr>
        <w:trPr/>
        <w:tc>
          <w:tcPr>
            <w:tcW w:w="907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consolidated financial statements include Spartan’s revenue and net income of $37,510 and $5,546, respectively, from the date of acquisition through December 31, 2025 for the periods presented within. </w:t>
      </w:r>
    </w:p>
    <w:p>
      <w:pPr>
        <w:pStyle w:val="TextBody"/>
        <w:bidi w:val="0"/>
        <w:spacing w:before="240" w:after="0"/>
        <w:jc w:val="left"/>
        <w:rPr>
          <w:rFonts w:ascii="Times New Roman" w:hAnsi="Times New Roman"/>
          <w:sz w:val="20"/>
        </w:rPr>
      </w:pPr>
      <w:r>
        <w:rPr>
          <w:rFonts w:ascii="Times New Roman" w:hAnsi="Times New Roman"/>
          <w:sz w:val="20"/>
        </w:rPr>
        <w:t xml:space="preserve">Pro forma financial information has not been presented for the Spartan acquisition as the impact to the Company’s consolidated financial statements was not 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twelve months ended December 31, 2025, the Company incurred and expensed $778 of acquisition related costs in connection to the Spartan acquisition. Such costs are included in “Selling, general and administrative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Details of Certain Accounts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Capitalized 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capitalized project development costs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56"/>
        <w:gridCol w:w="147"/>
        <w:gridCol w:w="140"/>
        <w:gridCol w:w="696"/>
        <w:gridCol w:w="155"/>
        <w:gridCol w:w="116"/>
        <w:gridCol w:w="140"/>
        <w:gridCol w:w="696"/>
        <w:gridCol w:w="159"/>
      </w:tblGrid>
      <w:tr>
        <w:trPr/>
        <w:tc>
          <w:tcPr>
            <w:tcW w:w="795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9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beginning of period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25,204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17,603</w:t>
            </w:r>
          </w:p>
        </w:tc>
        <w:tc>
          <w:tcPr>
            <w:tcW w:w="159" w:type="dxa"/>
            <w:tcBorders/>
            <w:shd w:fill="CCEEFF" w:val="clear"/>
            <w:vAlign w:val="bottom"/>
          </w:tcPr>
          <w:p>
            <w:pPr>
              <w:pStyle w:val="TableContents"/>
              <w:bidi w:val="0"/>
              <w:spacing w:before="0" w:after="283"/>
              <w:jc w:val="left"/>
              <w:rPr/>
            </w:pPr>
            <w:r>
              <w:rPr/>
              <w:t> </w:t>
            </w:r>
          </w:p>
        </w:tc>
      </w:tr>
      <w:tr>
        <w:trPr/>
        <w:tc>
          <w:tcPr>
            <w:tcW w:w="7956" w:type="dxa"/>
            <w:tcBorders/>
          </w:tcPr>
          <w:p>
            <w:pPr>
              <w:pStyle w:val="TableContents"/>
              <w:bidi w:val="0"/>
              <w:spacing w:before="0" w:after="0"/>
              <w:jc w:val="left"/>
              <w:rPr>
                <w:rFonts w:ascii="Times New Roman" w:hAnsi="Times New Roman"/>
                <w:sz w:val="20"/>
              </w:rPr>
            </w:pPr>
            <w:r>
              <w:rPr>
                <w:rFonts w:ascii="Times New Roman" w:hAnsi="Times New Roman"/>
                <w:sz w:val="20"/>
              </w:rPr>
              <w:t>Costs capitalized during the year</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5,864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8,058</w:t>
            </w:r>
          </w:p>
        </w:tc>
        <w:tc>
          <w:tcPr>
            <w:tcW w:w="159" w:type="dxa"/>
            <w:tcBorders/>
            <w:vAlign w:val="bottom"/>
          </w:tcPr>
          <w:p>
            <w:pPr>
              <w:pStyle w:val="TableContents"/>
              <w:bidi w:val="0"/>
              <w:spacing w:before="0" w:after="283"/>
              <w:jc w:val="left"/>
              <w:rPr/>
            </w:pPr>
            <w:r>
              <w:rPr/>
              <w:t> </w:t>
            </w:r>
          </w:p>
        </w:tc>
      </w:tr>
      <w:tr>
        <w:trPr/>
        <w:tc>
          <w:tcPr>
            <w:tcW w:w="7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expensed from sale of projects during the year</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(6,154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956" w:type="dxa"/>
            <w:tcBorders/>
          </w:tcPr>
          <w:p>
            <w:pPr>
              <w:pStyle w:val="TableContents"/>
              <w:bidi w:val="0"/>
              <w:spacing w:before="0" w:after="0"/>
              <w:jc w:val="left"/>
              <w:rPr>
                <w:rFonts w:ascii="Times New Roman" w:hAnsi="Times New Roman"/>
                <w:sz w:val="20"/>
              </w:rPr>
            </w:pPr>
            <w:r>
              <w:rPr>
                <w:rFonts w:ascii="Times New Roman" w:hAnsi="Times New Roman"/>
                <w:sz w:val="20"/>
              </w:rPr>
              <w:t>Impaired costs written off during the year</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(7,180</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(457</w:t>
            </w:r>
          </w:p>
        </w:tc>
        <w:tc>
          <w:tcPr>
            <w:tcW w:w="159" w:type="dxa"/>
            <w:tcBorders/>
            <w:vAlign w:val="bottom"/>
          </w:tcPr>
          <w:p>
            <w:pPr>
              <w:pStyle w:val="TableContents"/>
              <w:bidi w:val="0"/>
              <w:spacing w:before="0" w:after="283"/>
              <w:jc w:val="left"/>
              <w:rPr/>
            </w:pPr>
            <w:r>
              <w:rPr/>
              <w:t>) </w:t>
            </w:r>
          </w:p>
        </w:tc>
      </w:tr>
      <w:tr>
        <w:trPr/>
        <w:tc>
          <w:tcPr>
            <w:tcW w:w="795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end of period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17,734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25,204</w:t>
            </w:r>
          </w:p>
        </w:tc>
        <w:tc>
          <w:tcPr>
            <w:tcW w:w="159" w:type="dxa"/>
            <w:tcBorders/>
            <w:shd w:fill="CCEEFF" w:val="clear"/>
            <w:vAlign w:val="bottom"/>
          </w:tcPr>
          <w:p>
            <w:pPr>
              <w:pStyle w:val="TableContents"/>
              <w:bidi w:val="0"/>
              <w:spacing w:before="0" w:after="283"/>
              <w:jc w:val="left"/>
              <w:rPr/>
            </w:pPr>
            <w:r>
              <w:rPr/>
              <w:t> </w:t>
            </w:r>
          </w:p>
        </w:tc>
      </w:tr>
      <w:tr>
        <w:trPr/>
        <w:tc>
          <w:tcPr>
            <w:tcW w:w="795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Write offs of impaired costs were included in “Cost of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Prepaids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Prepaids and other current assets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55"/>
        <w:gridCol w:w="315"/>
        <w:gridCol w:w="140"/>
        <w:gridCol w:w="683"/>
        <w:gridCol w:w="60"/>
        <w:gridCol w:w="315"/>
        <w:gridCol w:w="140"/>
        <w:gridCol w:w="683"/>
        <w:gridCol w:w="64"/>
      </w:tblGrid>
      <w:tr>
        <w:trPr/>
        <w:tc>
          <w:tcPr>
            <w:tcW w:w="535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355"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Supplier deposits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43,485</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9,972</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tcPr>
          <w:p>
            <w:pPr>
              <w:pStyle w:val="TableContents"/>
              <w:bidi w:val="0"/>
              <w:spacing w:before="0" w:after="0"/>
              <w:jc w:val="left"/>
              <w:rPr>
                <w:rFonts w:ascii="Times New Roman" w:hAnsi="Times New Roman"/>
                <w:sz w:val="20"/>
              </w:rPr>
            </w:pPr>
            <w:r>
              <w:rPr>
                <w:rFonts w:ascii="Times New Roman" w:hAnsi="Times New Roman"/>
                <w:sz w:val="20"/>
              </w:rPr>
              <w:t>Materials inventory</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4,594</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1,232</w:t>
            </w:r>
          </w:p>
        </w:tc>
        <w:tc>
          <w:tcPr>
            <w:tcW w:w="64" w:type="dxa"/>
            <w:tcBorders/>
            <w:vAlign w:val="bottom"/>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Non-trade receivables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3,473</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8,023</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2,942</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2,608</w:t>
            </w:r>
          </w:p>
        </w:tc>
        <w:tc>
          <w:tcPr>
            <w:tcW w:w="64" w:type="dxa"/>
            <w:tcBorders/>
            <w:vAlign w:val="bottom"/>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2,495</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1,166</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3,898</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3,952</w:t>
            </w:r>
          </w:p>
        </w:tc>
        <w:tc>
          <w:tcPr>
            <w:tcW w:w="64" w:type="dxa"/>
            <w:tcBorders/>
            <w:vAlign w:val="bottom"/>
          </w:tcPr>
          <w:p>
            <w:pPr>
              <w:pStyle w:val="TableContents"/>
              <w:bidi w:val="0"/>
              <w:spacing w:before="0" w:after="283"/>
              <w:jc w:val="left"/>
              <w:rPr/>
            </w:pPr>
            <w:r>
              <w:rPr/>
              <w:t> </w:t>
            </w:r>
          </w:p>
        </w:tc>
      </w:tr>
      <w:tr>
        <w:trPr/>
        <w:tc>
          <w:tcPr>
            <w:tcW w:w="53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prepaids and other current 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60,887</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26,953</w:t>
            </w:r>
          </w:p>
        </w:tc>
        <w:tc>
          <w:tcPr>
            <w:tcW w:w="64" w:type="dxa"/>
            <w:tcBorders/>
            <w:shd w:fill="CCEEFF" w:val="clear"/>
            <w:vAlign w:val="bottom"/>
          </w:tcPr>
          <w:p>
            <w:pPr>
              <w:pStyle w:val="TableContents"/>
              <w:bidi w:val="0"/>
              <w:spacing w:before="0" w:after="283"/>
              <w:jc w:val="left"/>
              <w:rPr/>
            </w:pPr>
            <w:r>
              <w:rPr/>
              <w:t> </w:t>
            </w:r>
          </w:p>
        </w:tc>
      </w:tr>
      <w:tr>
        <w:trPr/>
        <w:tc>
          <w:tcPr>
            <w:tcW w:w="5355"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prepaids and current assets consisted of capitalized revolver costs, refundable deposits and miscellaneous prepaid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6"/>
        <w:gridCol w:w="296"/>
        <w:gridCol w:w="140"/>
        <w:gridCol w:w="806"/>
        <w:gridCol w:w="157"/>
        <w:gridCol w:w="242"/>
        <w:gridCol w:w="140"/>
        <w:gridCol w:w="806"/>
        <w:gridCol w:w="162"/>
      </w:tblGrid>
      <w:tr>
        <w:trPr/>
        <w:tc>
          <w:tcPr>
            <w:tcW w:w="5006"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06"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2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5006"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80,022</w:t>
            </w:r>
          </w:p>
        </w:tc>
        <w:tc>
          <w:tcPr>
            <w:tcW w:w="15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41,267</w:t>
            </w:r>
          </w:p>
        </w:tc>
        <w:tc>
          <w:tcPr>
            <w:tcW w:w="162" w:type="dxa"/>
            <w:tcBorders/>
            <w:shd w:fill="CCEEFF" w:val="clear"/>
            <w:vAlign w:val="bottom"/>
          </w:tcPr>
          <w:p>
            <w:pPr>
              <w:pStyle w:val="TableContents"/>
              <w:bidi w:val="0"/>
              <w:spacing w:before="0" w:after="283"/>
              <w:jc w:val="left"/>
              <w:rPr/>
            </w:pPr>
            <w:r>
              <w:rPr/>
              <w:t> </w:t>
            </w:r>
          </w:p>
        </w:tc>
      </w:tr>
      <w:tr>
        <w:trPr/>
        <w:tc>
          <w:tcPr>
            <w:tcW w:w="5006"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4,391</w:t>
            </w:r>
          </w:p>
        </w:tc>
        <w:tc>
          <w:tcPr>
            <w:tcW w:w="15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3,672</w:t>
            </w:r>
          </w:p>
        </w:tc>
        <w:tc>
          <w:tcPr>
            <w:tcW w:w="162" w:type="dxa"/>
            <w:tcBorders/>
            <w:vAlign w:val="bottom"/>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 under finance leases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56,724</w:t>
            </w:r>
          </w:p>
        </w:tc>
        <w:tc>
          <w:tcPr>
            <w:tcW w:w="15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39,160</w:t>
            </w:r>
          </w:p>
        </w:tc>
        <w:tc>
          <w:tcPr>
            <w:tcW w:w="162" w:type="dxa"/>
            <w:tcBorders/>
            <w:shd w:fill="CCEEFF" w:val="clear"/>
            <w:vAlign w:val="bottom"/>
          </w:tcPr>
          <w:p>
            <w:pPr>
              <w:pStyle w:val="TableContents"/>
              <w:bidi w:val="0"/>
              <w:spacing w:before="0" w:after="283"/>
              <w:jc w:val="left"/>
              <w:rPr/>
            </w:pPr>
            <w:r>
              <w:rPr/>
              <w:t> </w:t>
            </w:r>
          </w:p>
        </w:tc>
      </w:tr>
      <w:tr>
        <w:trPr/>
        <w:tc>
          <w:tcPr>
            <w:tcW w:w="5006"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2,845</w:t>
            </w:r>
          </w:p>
        </w:tc>
        <w:tc>
          <w:tcPr>
            <w:tcW w:w="15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2,794</w:t>
            </w:r>
          </w:p>
        </w:tc>
        <w:tc>
          <w:tcPr>
            <w:tcW w:w="162" w:type="dxa"/>
            <w:tcBorders/>
            <w:vAlign w:val="bottom"/>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15,214</w:t>
            </w:r>
          </w:p>
        </w:tc>
        <w:tc>
          <w:tcPr>
            <w:tcW w:w="15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13,875</w:t>
            </w:r>
          </w:p>
        </w:tc>
        <w:tc>
          <w:tcPr>
            <w:tcW w:w="162" w:type="dxa"/>
            <w:tcBorders/>
            <w:shd w:fill="CCEEFF" w:val="clear"/>
            <w:vAlign w:val="bottom"/>
          </w:tcPr>
          <w:p>
            <w:pPr>
              <w:pStyle w:val="TableContents"/>
              <w:bidi w:val="0"/>
              <w:spacing w:before="0" w:after="283"/>
              <w:jc w:val="left"/>
              <w:rPr/>
            </w:pPr>
            <w:r>
              <w:rPr/>
              <w:t> </w:t>
            </w:r>
          </w:p>
        </w:tc>
      </w:tr>
      <w:tr>
        <w:trPr/>
        <w:tc>
          <w:tcPr>
            <w:tcW w:w="5006"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5,305</w:t>
            </w:r>
          </w:p>
        </w:tc>
        <w:tc>
          <w:tcPr>
            <w:tcW w:w="15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5,178</w:t>
            </w:r>
          </w:p>
        </w:tc>
        <w:tc>
          <w:tcPr>
            <w:tcW w:w="162" w:type="dxa"/>
            <w:tcBorders/>
            <w:vAlign w:val="bottom"/>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3,340</w:t>
            </w:r>
          </w:p>
        </w:tc>
        <w:tc>
          <w:tcPr>
            <w:tcW w:w="15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1,031</w:t>
            </w:r>
          </w:p>
        </w:tc>
        <w:tc>
          <w:tcPr>
            <w:tcW w:w="162" w:type="dxa"/>
            <w:tcBorders/>
            <w:shd w:fill="CCEEFF" w:val="clear"/>
            <w:vAlign w:val="bottom"/>
          </w:tcPr>
          <w:p>
            <w:pPr>
              <w:pStyle w:val="TableContents"/>
              <w:bidi w:val="0"/>
              <w:spacing w:before="0" w:after="283"/>
              <w:jc w:val="left"/>
              <w:rPr/>
            </w:pPr>
            <w:r>
              <w:rPr/>
              <w:t> </w:t>
            </w:r>
          </w:p>
        </w:tc>
      </w:tr>
      <w:tr>
        <w:trPr/>
        <w:tc>
          <w:tcPr>
            <w:tcW w:w="5006"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land</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467</w:t>
            </w:r>
          </w:p>
        </w:tc>
        <w:tc>
          <w:tcPr>
            <w:tcW w:w="15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168,308</w:t>
            </w:r>
          </w:p>
        </w:tc>
        <w:tc>
          <w:tcPr>
            <w:tcW w:w="15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106,977</w:t>
            </w:r>
          </w:p>
        </w:tc>
        <w:tc>
          <w:tcPr>
            <w:tcW w:w="162" w:type="dxa"/>
            <w:tcBorders/>
            <w:shd w:fill="CCEEFF" w:val="clear"/>
            <w:vAlign w:val="bottom"/>
          </w:tcPr>
          <w:p>
            <w:pPr>
              <w:pStyle w:val="TableContents"/>
              <w:bidi w:val="0"/>
              <w:spacing w:before="0" w:after="283"/>
              <w:jc w:val="left"/>
              <w:rPr/>
            </w:pPr>
            <w:r>
              <w:rPr/>
              <w:t> </w:t>
            </w:r>
          </w:p>
        </w:tc>
      </w:tr>
      <w:tr>
        <w:trPr/>
        <w:tc>
          <w:tcPr>
            <w:tcW w:w="5006"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(61,925</w:t>
            </w:r>
          </w:p>
        </w:tc>
        <w:tc>
          <w:tcPr>
            <w:tcW w:w="15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(39,342</w:t>
            </w:r>
          </w:p>
        </w:tc>
        <w:tc>
          <w:tcPr>
            <w:tcW w:w="162" w:type="dxa"/>
            <w:tcBorders/>
            <w:vAlign w:val="bottom"/>
          </w:tcPr>
          <w:p>
            <w:pPr>
              <w:pStyle w:val="TableContents"/>
              <w:bidi w:val="0"/>
              <w:spacing w:before="0" w:after="283"/>
              <w:jc w:val="left"/>
              <w:rPr/>
            </w:pPr>
            <w:r>
              <w:rPr/>
              <w:t>) </w:t>
            </w:r>
          </w:p>
        </w:tc>
      </w:tr>
      <w:tr>
        <w:trPr/>
        <w:tc>
          <w:tcPr>
            <w:tcW w:w="5006"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106,383</w:t>
            </w:r>
          </w:p>
        </w:tc>
        <w:tc>
          <w:tcPr>
            <w:tcW w:w="15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67,635</w:t>
            </w:r>
          </w:p>
        </w:tc>
        <w:tc>
          <w:tcPr>
            <w:tcW w:w="162" w:type="dxa"/>
            <w:tcBorders/>
            <w:shd w:fill="CCEEFF" w:val="clear"/>
            <w:vAlign w:val="bottom"/>
          </w:tcPr>
          <w:p>
            <w:pPr>
              <w:pStyle w:val="TableContents"/>
              <w:bidi w:val="0"/>
              <w:spacing w:before="0" w:after="283"/>
              <w:jc w:val="left"/>
              <w:rPr/>
            </w:pPr>
            <w:r>
              <w:rPr/>
              <w:t> </w:t>
            </w:r>
          </w:p>
        </w:tc>
      </w:tr>
      <w:tr>
        <w:trPr/>
        <w:tc>
          <w:tcPr>
            <w:tcW w:w="5006"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capitalized software costs included in Computer equipment: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03"/>
        <w:gridCol w:w="363"/>
        <w:gridCol w:w="140"/>
        <w:gridCol w:w="643"/>
        <w:gridCol w:w="155"/>
        <w:gridCol w:w="308"/>
        <w:gridCol w:w="140"/>
        <w:gridCol w:w="643"/>
        <w:gridCol w:w="160"/>
      </w:tblGrid>
      <w:tr>
        <w:trPr/>
        <w:tc>
          <w:tcPr>
            <w:tcW w:w="5203"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0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20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520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 gross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2,885</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2,885</w:t>
            </w:r>
          </w:p>
        </w:tc>
        <w:tc>
          <w:tcPr>
            <w:tcW w:w="160" w:type="dxa"/>
            <w:tcBorders/>
            <w:shd w:fill="CCEEFF" w:val="clear"/>
            <w:vAlign w:val="bottom"/>
          </w:tcPr>
          <w:p>
            <w:pPr>
              <w:pStyle w:val="TableContents"/>
              <w:bidi w:val="0"/>
              <w:spacing w:before="0" w:after="283"/>
              <w:jc w:val="left"/>
              <w:rPr/>
            </w:pPr>
            <w:r>
              <w:rPr/>
              <w:t> </w:t>
            </w:r>
          </w:p>
        </w:tc>
      </w:tr>
      <w:tr>
        <w:trPr/>
        <w:tc>
          <w:tcPr>
            <w:tcW w:w="5203"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(1,986</w:t>
            </w:r>
          </w:p>
        </w:tc>
        <w:tc>
          <w:tcPr>
            <w:tcW w:w="15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(1,495</w:t>
            </w:r>
          </w:p>
        </w:tc>
        <w:tc>
          <w:tcPr>
            <w:tcW w:w="160" w:type="dxa"/>
            <w:tcBorders/>
            <w:vAlign w:val="bottom"/>
          </w:tcPr>
          <w:p>
            <w:pPr>
              <w:pStyle w:val="TableContents"/>
              <w:bidi w:val="0"/>
              <w:spacing w:before="0" w:after="283"/>
              <w:jc w:val="left"/>
              <w:rPr/>
            </w:pPr>
            <w:r>
              <w:rPr/>
              <w:t>) </w:t>
            </w:r>
          </w:p>
        </w:tc>
      </w:tr>
      <w:tr>
        <w:trPr/>
        <w:tc>
          <w:tcPr>
            <w:tcW w:w="5203"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 net</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899</w:t>
            </w:r>
          </w:p>
        </w:tc>
        <w:tc>
          <w:tcPr>
            <w:tcW w:w="15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3" w:type="dxa"/>
            <w:tcBorders/>
            <w:shd w:fill="CCEEFF" w:val="clear"/>
            <w:vAlign w:val="bottom"/>
          </w:tcPr>
          <w:p>
            <w:pPr>
              <w:pStyle w:val="TableContents"/>
              <w:bidi w:val="0"/>
              <w:spacing w:before="0" w:after="283"/>
              <w:jc w:val="right"/>
              <w:rPr/>
            </w:pPr>
            <w:r>
              <w:rPr/>
              <w:t>1,390</w:t>
            </w:r>
          </w:p>
        </w:tc>
        <w:tc>
          <w:tcPr>
            <w:tcW w:w="160" w:type="dxa"/>
            <w:tcBorders/>
            <w:shd w:fill="CCEEFF" w:val="clear"/>
            <w:vAlign w:val="bottom"/>
          </w:tcPr>
          <w:p>
            <w:pPr>
              <w:pStyle w:val="TableContents"/>
              <w:bidi w:val="0"/>
              <w:spacing w:before="0" w:after="283"/>
              <w:jc w:val="left"/>
              <w:rPr/>
            </w:pPr>
            <w:r>
              <w:rPr/>
              <w:t> </w:t>
            </w:r>
          </w:p>
        </w:tc>
      </w:tr>
      <w:tr>
        <w:trPr/>
        <w:tc>
          <w:tcPr>
            <w:tcW w:w="5203"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depreciation expense related to capitalized software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1"/>
        <w:gridCol w:w="175"/>
        <w:gridCol w:w="193"/>
        <w:gridCol w:w="528"/>
        <w:gridCol w:w="83"/>
        <w:gridCol w:w="215"/>
        <w:gridCol w:w="193"/>
        <w:gridCol w:w="528"/>
        <w:gridCol w:w="83"/>
        <w:gridCol w:w="215"/>
        <w:gridCol w:w="193"/>
        <w:gridCol w:w="603"/>
        <w:gridCol w:w="65"/>
      </w:tblGrid>
      <w:tr>
        <w:trPr/>
        <w:tc>
          <w:tcPr>
            <w:tcW w:w="713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83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713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8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7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w:t>
            </w:r>
          </w:p>
        </w:tc>
        <w:tc>
          <w:tcPr>
            <w:tcW w:w="17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528" w:type="dxa"/>
            <w:tcBorders/>
            <w:shd w:fill="CCEEFF" w:val="clear"/>
            <w:vAlign w:val="bottom"/>
          </w:tcPr>
          <w:p>
            <w:pPr>
              <w:pStyle w:val="TableContents"/>
              <w:bidi w:val="0"/>
              <w:spacing w:before="0" w:after="283"/>
              <w:jc w:val="right"/>
              <w:rPr/>
            </w:pPr>
            <w:r>
              <w:rPr/>
              <w:t>491</w:t>
            </w:r>
          </w:p>
        </w:tc>
        <w:tc>
          <w:tcPr>
            <w:tcW w:w="8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528" w:type="dxa"/>
            <w:tcBorders/>
            <w:shd w:fill="CCEEFF" w:val="clear"/>
            <w:vAlign w:val="bottom"/>
          </w:tcPr>
          <w:p>
            <w:pPr>
              <w:pStyle w:val="TableContents"/>
              <w:bidi w:val="0"/>
              <w:spacing w:before="0" w:after="283"/>
              <w:jc w:val="right"/>
              <w:rPr/>
            </w:pPr>
            <w:r>
              <w:rPr/>
              <w:t>465</w:t>
            </w:r>
          </w:p>
        </w:tc>
        <w:tc>
          <w:tcPr>
            <w:tcW w:w="8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603" w:type="dxa"/>
            <w:tcBorders/>
            <w:shd w:fill="CCEEFF" w:val="clear"/>
            <w:vAlign w:val="bottom"/>
          </w:tcPr>
          <w:p>
            <w:pPr>
              <w:pStyle w:val="TableContents"/>
              <w:bidi w:val="0"/>
              <w:spacing w:before="0" w:after="283"/>
              <w:jc w:val="right"/>
              <w:rPr/>
            </w:pPr>
            <w:r>
              <w:rPr/>
              <w:t>557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depreciation expense included in cost of revenue and selling, general and administrative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5"/>
        <w:gridCol w:w="233"/>
        <w:gridCol w:w="140"/>
        <w:gridCol w:w="685"/>
        <w:gridCol w:w="60"/>
        <w:gridCol w:w="233"/>
        <w:gridCol w:w="140"/>
        <w:gridCol w:w="685"/>
        <w:gridCol w:w="60"/>
        <w:gridCol w:w="233"/>
        <w:gridCol w:w="140"/>
        <w:gridCol w:w="685"/>
        <w:gridCol w:w="66"/>
      </w:tblGrid>
      <w:tr>
        <w:trPr/>
        <w:tc>
          <w:tcPr>
            <w:tcW w:w="684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84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306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684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r>
      <w:tr>
        <w:trPr/>
        <w:tc>
          <w:tcPr>
            <w:tcW w:w="6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24,069</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14,810</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12,446</w:t>
            </w:r>
          </w:p>
        </w:tc>
        <w:tc>
          <w:tcPr>
            <w:tcW w:w="66" w:type="dxa"/>
            <w:tcBorders/>
            <w:shd w:fill="CCEEFF" w:val="clear"/>
            <w:vAlign w:val="bottom"/>
          </w:tcPr>
          <w:p>
            <w:pPr>
              <w:pStyle w:val="TableContents"/>
              <w:bidi w:val="0"/>
              <w:spacing w:before="0" w:after="283"/>
              <w:jc w:val="left"/>
              <w:rPr/>
            </w:pPr>
            <w:r>
              <w:rPr/>
              <w:t> </w:t>
            </w:r>
          </w:p>
        </w:tc>
      </w:tr>
      <w:tr>
        <w:trPr/>
        <w:tc>
          <w:tcPr>
            <w:tcW w:w="684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3,726</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2,744</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2,305</w:t>
            </w:r>
          </w:p>
        </w:tc>
        <w:tc>
          <w:tcPr>
            <w:tcW w:w="66" w:type="dxa"/>
            <w:tcBorders/>
            <w:vAlign w:val="bottom"/>
          </w:tcPr>
          <w:p>
            <w:pPr>
              <w:pStyle w:val="TableContents"/>
              <w:bidi w:val="0"/>
              <w:spacing w:before="0" w:after="283"/>
              <w:jc w:val="left"/>
              <w:rPr/>
            </w:pPr>
            <w:r>
              <w:rPr/>
              <w:t> </w:t>
            </w:r>
          </w:p>
        </w:tc>
      </w:tr>
      <w:tr>
        <w:trPr/>
        <w:tc>
          <w:tcPr>
            <w:tcW w:w="684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27,795</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17,554</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14,751</w:t>
            </w:r>
          </w:p>
        </w:tc>
        <w:tc>
          <w:tcPr>
            <w:tcW w:w="66" w:type="dxa"/>
            <w:tcBorders/>
            <w:shd w:fill="CCEEFF" w:val="clear"/>
            <w:vAlign w:val="bottom"/>
          </w:tcPr>
          <w:p>
            <w:pPr>
              <w:pStyle w:val="TableContents"/>
              <w:bidi w:val="0"/>
              <w:spacing w:before="0" w:after="283"/>
              <w:jc w:val="left"/>
              <w:rPr/>
            </w:pPr>
            <w:r>
              <w:rPr/>
              <w:t> </w:t>
            </w:r>
          </w:p>
        </w:tc>
      </w:tr>
      <w:tr>
        <w:trPr/>
        <w:tc>
          <w:tcPr>
            <w:tcW w:w="6845"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Long-Term Assets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assets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30"/>
        <w:gridCol w:w="244"/>
        <w:gridCol w:w="140"/>
        <w:gridCol w:w="680"/>
        <w:gridCol w:w="60"/>
        <w:gridCol w:w="244"/>
        <w:gridCol w:w="140"/>
        <w:gridCol w:w="604"/>
        <w:gridCol w:w="63"/>
      </w:tblGrid>
      <w:tr>
        <w:trPr/>
        <w:tc>
          <w:tcPr>
            <w:tcW w:w="803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3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8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803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8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6,052</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8030" w:type="dxa"/>
            <w:tcBorders/>
          </w:tcPr>
          <w:p>
            <w:pPr>
              <w:pStyle w:val="TableContents"/>
              <w:bidi w:val="0"/>
              <w:spacing w:before="0" w:after="0"/>
              <w:jc w:val="left"/>
              <w:rPr>
                <w:rFonts w:ascii="Times New Roman" w:hAnsi="Times New Roman"/>
                <w:sz w:val="20"/>
              </w:rPr>
            </w:pPr>
            <w:r>
              <w:rPr>
                <w:rFonts w:ascii="Times New Roman" w:hAnsi="Times New Roman"/>
                <w:sz w:val="20"/>
              </w:rPr>
              <w:t>Unamortized revolver issuance costs</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1,123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1,742</w:t>
            </w:r>
          </w:p>
        </w:tc>
        <w:tc>
          <w:tcPr>
            <w:tcW w:w="63" w:type="dxa"/>
            <w:tcBorders/>
            <w:vAlign w:val="bottom"/>
          </w:tcPr>
          <w:p>
            <w:pPr>
              <w:pStyle w:val="TableContents"/>
              <w:bidi w:val="0"/>
              <w:spacing w:before="0" w:after="283"/>
              <w:jc w:val="left"/>
              <w:rPr/>
            </w:pPr>
            <w:r>
              <w:rPr/>
              <w:t> </w:t>
            </w:r>
          </w:p>
        </w:tc>
      </w:tr>
      <w:tr>
        <w:trPr/>
        <w:tc>
          <w:tcPr>
            <w:tcW w:w="8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3,750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3,750</w:t>
            </w:r>
          </w:p>
        </w:tc>
        <w:tc>
          <w:tcPr>
            <w:tcW w:w="63" w:type="dxa"/>
            <w:tcBorders/>
            <w:shd w:fill="CCEEFF" w:val="clear"/>
            <w:vAlign w:val="bottom"/>
          </w:tcPr>
          <w:p>
            <w:pPr>
              <w:pStyle w:val="TableContents"/>
              <w:bidi w:val="0"/>
              <w:spacing w:before="0" w:after="283"/>
              <w:jc w:val="left"/>
              <w:rPr/>
            </w:pPr>
            <w:r>
              <w:rPr/>
              <w:t> </w:t>
            </w:r>
          </w:p>
        </w:tc>
      </w:tr>
      <w:tr>
        <w:trPr/>
        <w:tc>
          <w:tcPr>
            <w:tcW w:w="803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030" w:type="dxa"/>
            <w:tcBorders/>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10,925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5,492</w:t>
            </w:r>
          </w:p>
        </w:tc>
        <w:tc>
          <w:tcPr>
            <w:tcW w:w="63" w:type="dxa"/>
            <w:tcBorders/>
            <w:vAlign w:val="bottom"/>
          </w:tcPr>
          <w:p>
            <w:pPr>
              <w:pStyle w:val="TableContents"/>
              <w:bidi w:val="0"/>
              <w:spacing w:before="0" w:after="283"/>
              <w:jc w:val="left"/>
              <w:rPr/>
            </w:pPr>
            <w:r>
              <w:rPr/>
              <w:t> </w:t>
            </w:r>
          </w:p>
        </w:tc>
      </w:tr>
      <w:tr>
        <w:trPr/>
        <w:tc>
          <w:tcPr>
            <w:tcW w:w="8030"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investment is derived from an observable price change from an equity transaction from the same issuer that occurred in 2024 and is therefore a Level 2 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Payable and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expenses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28"/>
        <w:gridCol w:w="237"/>
        <w:gridCol w:w="140"/>
        <w:gridCol w:w="800"/>
        <w:gridCol w:w="60"/>
        <w:gridCol w:w="237"/>
        <w:gridCol w:w="140"/>
        <w:gridCol w:w="800"/>
        <w:gridCol w:w="63"/>
      </w:tblGrid>
      <w:tr>
        <w:trPr/>
        <w:tc>
          <w:tcPr>
            <w:tcW w:w="7728"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72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772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7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Vendor payables and accrued purchases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422,853</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330,254</w:t>
            </w:r>
          </w:p>
        </w:tc>
        <w:tc>
          <w:tcPr>
            <w:tcW w:w="63" w:type="dxa"/>
            <w:tcBorders/>
            <w:shd w:fill="CCEEFF" w:val="clear"/>
            <w:vAlign w:val="bottom"/>
          </w:tcPr>
          <w:p>
            <w:pPr>
              <w:pStyle w:val="TableContents"/>
              <w:bidi w:val="0"/>
              <w:spacing w:before="0" w:after="283"/>
              <w:jc w:val="left"/>
              <w:rPr/>
            </w:pPr>
            <w:r>
              <w:rPr/>
              <w:t> </w:t>
            </w:r>
          </w:p>
        </w:tc>
      </w:tr>
      <w:tr>
        <w:trPr/>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73,330</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43,801</w:t>
            </w:r>
          </w:p>
        </w:tc>
        <w:tc>
          <w:tcPr>
            <w:tcW w:w="63" w:type="dxa"/>
            <w:tcBorders/>
            <w:vAlign w:val="bottom"/>
          </w:tcPr>
          <w:p>
            <w:pPr>
              <w:pStyle w:val="TableContents"/>
              <w:bidi w:val="0"/>
              <w:spacing w:before="0" w:after="283"/>
              <w:jc w:val="left"/>
              <w:rPr/>
            </w:pPr>
            <w:r>
              <w:rPr/>
              <w:t> </w:t>
            </w:r>
          </w:p>
        </w:tc>
      </w:tr>
      <w:tr>
        <w:trPr/>
        <w:tc>
          <w:tcPr>
            <w:tcW w:w="7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Restricted Unit Appreciation Plan liability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32,854</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taxes payable</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11,905</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8,569</w:t>
            </w:r>
          </w:p>
        </w:tc>
        <w:tc>
          <w:tcPr>
            <w:tcW w:w="63" w:type="dxa"/>
            <w:tcBorders/>
            <w:vAlign w:val="bottom"/>
          </w:tcPr>
          <w:p>
            <w:pPr>
              <w:pStyle w:val="TableContents"/>
              <w:bidi w:val="0"/>
              <w:spacing w:before="0" w:after="283"/>
              <w:jc w:val="left"/>
              <w:rPr/>
            </w:pPr>
            <w:r>
              <w:rPr/>
              <w:t> </w:t>
            </w:r>
          </w:p>
        </w:tc>
      </w:tr>
      <w:tr>
        <w:trPr/>
        <w:tc>
          <w:tcPr>
            <w:tcW w:w="7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8,580</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2,370</w:t>
            </w:r>
          </w:p>
        </w:tc>
        <w:tc>
          <w:tcPr>
            <w:tcW w:w="63" w:type="dxa"/>
            <w:tcBorders/>
            <w:shd w:fill="CCEEFF" w:val="clear"/>
            <w:vAlign w:val="bottom"/>
          </w:tcPr>
          <w:p>
            <w:pPr>
              <w:pStyle w:val="TableContents"/>
              <w:bidi w:val="0"/>
              <w:spacing w:before="0" w:after="283"/>
              <w:jc w:val="left"/>
              <w:rPr/>
            </w:pPr>
            <w:r>
              <w:rPr/>
              <w:t> </w:t>
            </w:r>
          </w:p>
        </w:tc>
      </w:tr>
      <w:tr>
        <w:trPr/>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Accrued warranty</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4,278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6,314</w:t>
            </w:r>
          </w:p>
        </w:tc>
        <w:tc>
          <w:tcPr>
            <w:tcW w:w="63" w:type="dxa"/>
            <w:tcBorders/>
            <w:vAlign w:val="bottom"/>
          </w:tcPr>
          <w:p>
            <w:pPr>
              <w:pStyle w:val="TableContents"/>
              <w:bidi w:val="0"/>
              <w:spacing w:before="0" w:after="283"/>
              <w:jc w:val="left"/>
              <w:rPr/>
            </w:pPr>
            <w:r>
              <w:rPr/>
              <w:t> </w:t>
            </w:r>
          </w:p>
        </w:tc>
      </w:tr>
      <w:tr>
        <w:trPr/>
        <w:tc>
          <w:tcPr>
            <w:tcW w:w="7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728"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2,918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10,575</w:t>
            </w:r>
          </w:p>
        </w:tc>
        <w:tc>
          <w:tcPr>
            <w:tcW w:w="63" w:type="dxa"/>
            <w:tcBorders/>
            <w:vAlign w:val="bottom"/>
          </w:tcPr>
          <w:p>
            <w:pPr>
              <w:pStyle w:val="TableContents"/>
              <w:bidi w:val="0"/>
              <w:spacing w:before="0" w:after="283"/>
              <w:jc w:val="left"/>
              <w:rPr/>
            </w:pPr>
            <w:r>
              <w:rPr/>
              <w:t> </w:t>
            </w:r>
          </w:p>
        </w:tc>
      </w:tr>
      <w:tr>
        <w:trPr/>
        <w:tc>
          <w:tcPr>
            <w:tcW w:w="772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expenses</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562,218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401,883</w:t>
            </w:r>
          </w:p>
        </w:tc>
        <w:tc>
          <w:tcPr>
            <w:tcW w:w="63" w:type="dxa"/>
            <w:tcBorders/>
            <w:shd w:fill="CCEEFF" w:val="clear"/>
            <w:vAlign w:val="bottom"/>
          </w:tcPr>
          <w:p>
            <w:pPr>
              <w:pStyle w:val="TableContents"/>
              <w:bidi w:val="0"/>
              <w:spacing w:before="0" w:after="283"/>
              <w:jc w:val="left"/>
              <w:rPr/>
            </w:pPr>
            <w:r>
              <w:rPr/>
              <w:t> </w:t>
            </w:r>
          </w:p>
        </w:tc>
      </w:tr>
      <w:tr>
        <w:trPr/>
        <w:tc>
          <w:tcPr>
            <w:tcW w:w="772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Long-Term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liabilities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19"/>
        <w:gridCol w:w="245"/>
        <w:gridCol w:w="140"/>
        <w:gridCol w:w="696"/>
        <w:gridCol w:w="60"/>
        <w:gridCol w:w="245"/>
        <w:gridCol w:w="140"/>
        <w:gridCol w:w="696"/>
        <w:gridCol w:w="64"/>
      </w:tblGrid>
      <w:tr>
        <w:trPr/>
        <w:tc>
          <w:tcPr>
            <w:tcW w:w="7919"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91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9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791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7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Warranty reserves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6,300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5,404</w:t>
            </w:r>
          </w:p>
        </w:tc>
        <w:tc>
          <w:tcPr>
            <w:tcW w:w="64" w:type="dxa"/>
            <w:tcBorders/>
            <w:shd w:fill="CCEEFF" w:val="clear"/>
            <w:vAlign w:val="bottom"/>
          </w:tcPr>
          <w:p>
            <w:pPr>
              <w:pStyle w:val="TableContents"/>
              <w:bidi w:val="0"/>
              <w:spacing w:before="0" w:after="283"/>
              <w:jc w:val="left"/>
              <w:rPr/>
            </w:pPr>
            <w:r>
              <w:rPr/>
              <w:t> </w:t>
            </w:r>
          </w:p>
        </w:tc>
      </w:tr>
      <w:tr>
        <w:trPr/>
        <w:tc>
          <w:tcPr>
            <w:tcW w:w="79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5,339</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compensation liability</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5,343</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919"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1,362</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Unit Appreciation Plan liability</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9,130</w:t>
            </w:r>
          </w:p>
        </w:tc>
        <w:tc>
          <w:tcPr>
            <w:tcW w:w="64" w:type="dxa"/>
            <w:tcBorders/>
            <w:shd w:fill="CCEEFF" w:val="clear"/>
            <w:vAlign w:val="bottom"/>
          </w:tcPr>
          <w:p>
            <w:pPr>
              <w:pStyle w:val="TableContents"/>
              <w:bidi w:val="0"/>
              <w:spacing w:before="0" w:after="283"/>
              <w:jc w:val="left"/>
              <w:rPr/>
            </w:pPr>
            <w:r>
              <w:rPr/>
              <w:t> </w:t>
            </w:r>
          </w:p>
        </w:tc>
      </w:tr>
      <w:tr>
        <w:trPr/>
        <w:tc>
          <w:tcPr>
            <w:tcW w:w="7919"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long-term liabilities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18,344</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14,534</w:t>
            </w:r>
          </w:p>
        </w:tc>
        <w:tc>
          <w:tcPr>
            <w:tcW w:w="64" w:type="dxa"/>
            <w:tcBorders/>
            <w:vAlign w:val="bottom"/>
          </w:tcPr>
          <w:p>
            <w:pPr>
              <w:pStyle w:val="TableContents"/>
              <w:bidi w:val="0"/>
              <w:spacing w:before="0" w:after="283"/>
              <w:jc w:val="left"/>
              <w:rPr/>
            </w:pPr>
            <w:r>
              <w:rPr/>
              <w:t> </w:t>
            </w:r>
          </w:p>
        </w:tc>
      </w:tr>
      <w:tr>
        <w:trPr/>
        <w:tc>
          <w:tcPr>
            <w:tcW w:w="791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Refer to Note 10—</w:t>
      </w:r>
      <w:r>
        <w:rPr>
          <w:rFonts w:ascii="Times New Roman" w:hAnsi="Times New Roman"/>
          <w:i/>
          <w:sz w:val="20"/>
        </w:rPr>
        <w:t>Unit-Based Compensation</w:t>
      </w:r>
      <w:r>
        <w:rPr>
          <w:rFonts w:ascii="Times New Roman" w:hAnsi="Times New Roman"/>
          <w:sz w:val="20"/>
        </w:rPr>
        <w:t xml:space="preserve"> for further information on Restricted Unit Appreciation Plan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organized as a pass through entity for US federal tax purposes and generally does not pay income taxes on its taxable income in most jurisdictions. Instead, the Company’s taxable income or loss is passed through to its members. </w:t>
      </w:r>
    </w:p>
    <w:p>
      <w:pPr>
        <w:pStyle w:val="TextBody"/>
        <w:bidi w:val="0"/>
        <w:spacing w:before="240" w:after="0"/>
        <w:jc w:val="left"/>
        <w:rPr>
          <w:rFonts w:ascii="Times New Roman" w:hAnsi="Times New Roman"/>
          <w:sz w:val="20"/>
        </w:rPr>
      </w:pPr>
      <w:r>
        <w:rPr>
          <w:rFonts w:ascii="Times New Roman" w:hAnsi="Times New Roman"/>
          <w:sz w:val="20"/>
        </w:rPr>
        <w:t xml:space="preserve">Income (loss) before income taxes consist wholly of domestic income (loss). </w:t>
      </w:r>
    </w:p>
    <w:p>
      <w:pPr>
        <w:pStyle w:val="TextBody"/>
        <w:bidi w:val="0"/>
        <w:spacing w:before="240" w:after="0"/>
        <w:jc w:val="left"/>
        <w:rPr>
          <w:rFonts w:ascii="Times New Roman" w:hAnsi="Times New Roman"/>
          <w:sz w:val="20"/>
        </w:rPr>
      </w:pPr>
      <w:r>
        <w:rPr>
          <w:rFonts w:ascii="Times New Roman" w:hAnsi="Times New Roman"/>
          <w:sz w:val="20"/>
        </w:rPr>
        <w:t xml:space="preserve">The income taxes paid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94"/>
        <w:gridCol w:w="168"/>
        <w:gridCol w:w="140"/>
        <w:gridCol w:w="564"/>
        <w:gridCol w:w="60"/>
        <w:gridCol w:w="168"/>
        <w:gridCol w:w="140"/>
        <w:gridCol w:w="436"/>
        <w:gridCol w:w="60"/>
        <w:gridCol w:w="168"/>
        <w:gridCol w:w="68"/>
        <w:gridCol w:w="472"/>
        <w:gridCol w:w="67"/>
      </w:tblGrid>
      <w:tr>
        <w:trPr/>
        <w:tc>
          <w:tcPr>
            <w:tcW w:w="769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69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2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7" w:type="dxa"/>
            <w:tcBorders/>
            <w:vAlign w:val="bottom"/>
          </w:tcPr>
          <w:p>
            <w:pPr>
              <w:pStyle w:val="TableContents"/>
              <w:bidi w:val="0"/>
              <w:spacing w:before="0" w:after="283"/>
              <w:jc w:val="left"/>
              <w:rPr/>
            </w:pPr>
            <w:r>
              <w:rPr/>
              <w:t> </w:t>
            </w:r>
          </w:p>
        </w:tc>
      </w:tr>
      <w:tr>
        <w:trPr/>
        <w:tc>
          <w:tcPr>
            <w:tcW w:w="7694"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7" w:type="dxa"/>
            <w:tcBorders/>
            <w:vAlign w:val="bottom"/>
          </w:tcPr>
          <w:p>
            <w:pPr>
              <w:pStyle w:val="TableContents"/>
              <w:bidi w:val="0"/>
              <w:spacing w:before="0" w:after="283"/>
              <w:jc w:val="left"/>
              <w:rPr/>
            </w:pPr>
            <w:r>
              <w:rPr/>
              <w:t> </w:t>
            </w:r>
          </w:p>
        </w:tc>
      </w:tr>
      <w:tr>
        <w:trPr/>
        <w:tc>
          <w:tcPr>
            <w:tcW w:w="7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1,630</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7694"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7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758</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204</w:t>
            </w:r>
          </w:p>
        </w:tc>
        <w:tc>
          <w:tcPr>
            <w:tcW w:w="67" w:type="dxa"/>
            <w:tcBorders/>
            <w:shd w:fill="CCEEFF" w:val="clear"/>
            <w:vAlign w:val="bottom"/>
          </w:tcPr>
          <w:p>
            <w:pPr>
              <w:pStyle w:val="TableContents"/>
              <w:bidi w:val="0"/>
              <w:spacing w:before="0" w:after="283"/>
              <w:jc w:val="left"/>
              <w:rPr/>
            </w:pPr>
            <w:r>
              <w:rPr/>
              <w:t> </w:t>
            </w:r>
          </w:p>
        </w:tc>
      </w:tr>
      <w:tr>
        <w:trPr/>
        <w:tc>
          <w:tcPr>
            <w:tcW w:w="7694" w:type="dxa"/>
            <w:tcBorders/>
          </w:tcPr>
          <w:p>
            <w:pPr>
              <w:pStyle w:val="TableContents"/>
              <w:bidi w:val="0"/>
              <w:spacing w:before="0" w:after="0"/>
              <w:jc w:val="left"/>
              <w:rPr>
                <w:rFonts w:ascii="Times New Roman" w:hAnsi="Times New Roman"/>
                <w:sz w:val="20"/>
              </w:rPr>
            </w:pPr>
            <w:r>
              <w:rPr>
                <w:rFonts w:ascii="Times New Roman" w:hAnsi="Times New Roman"/>
                <w:sz w:val="20"/>
              </w:rPr>
              <w:t>Other State Taxes</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7694"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7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7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income tax paid</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2,488</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204</w:t>
            </w:r>
          </w:p>
        </w:tc>
        <w:tc>
          <w:tcPr>
            <w:tcW w:w="67" w:type="dxa"/>
            <w:tcBorders/>
            <w:shd w:fill="CCEEFF" w:val="clear"/>
            <w:vAlign w:val="bottom"/>
          </w:tcPr>
          <w:p>
            <w:pPr>
              <w:pStyle w:val="TableContents"/>
              <w:bidi w:val="0"/>
              <w:spacing w:before="0" w:after="283"/>
              <w:jc w:val="left"/>
              <w:rPr/>
            </w:pPr>
            <w:r>
              <w:rPr/>
              <w:t> </w:t>
            </w:r>
          </w:p>
        </w:tc>
      </w:tr>
      <w:tr>
        <w:trPr/>
        <w:tc>
          <w:tcPr>
            <w:tcW w:w="7694"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47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income tax expense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47"/>
        <w:gridCol w:w="152"/>
        <w:gridCol w:w="140"/>
        <w:gridCol w:w="570"/>
        <w:gridCol w:w="155"/>
        <w:gridCol w:w="118"/>
        <w:gridCol w:w="140"/>
        <w:gridCol w:w="383"/>
        <w:gridCol w:w="60"/>
        <w:gridCol w:w="152"/>
        <w:gridCol w:w="140"/>
        <w:gridCol w:w="383"/>
        <w:gridCol w:w="65"/>
      </w:tblGrid>
      <w:tr>
        <w:trPr/>
        <w:tc>
          <w:tcPr>
            <w:tcW w:w="774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74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5" w:type="dxa"/>
            <w:tcBorders/>
            <w:vAlign w:val="bottom"/>
          </w:tcPr>
          <w:p>
            <w:pPr>
              <w:pStyle w:val="TableContents"/>
              <w:bidi w:val="0"/>
              <w:spacing w:before="0" w:after="283"/>
              <w:jc w:val="left"/>
              <w:rPr/>
            </w:pPr>
            <w:r>
              <w:rPr/>
              <w:t> </w:t>
            </w:r>
          </w:p>
        </w:tc>
      </w:tr>
      <w:tr>
        <w:trPr/>
        <w:tc>
          <w:tcPr>
            <w:tcW w:w="774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77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7747"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2,213</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7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1,932</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204</w:t>
            </w:r>
          </w:p>
        </w:tc>
        <w:tc>
          <w:tcPr>
            <w:tcW w:w="65" w:type="dxa"/>
            <w:tcBorders/>
            <w:shd w:fill="CCEEFF" w:val="clear"/>
            <w:vAlign w:val="bottom"/>
          </w:tcPr>
          <w:p>
            <w:pPr>
              <w:pStyle w:val="TableContents"/>
              <w:bidi w:val="0"/>
              <w:spacing w:before="0" w:after="283"/>
              <w:jc w:val="left"/>
              <w:rPr/>
            </w:pPr>
            <w:r>
              <w:rPr/>
              <w:t> </w:t>
            </w:r>
          </w:p>
        </w:tc>
      </w:tr>
      <w:tr>
        <w:trPr/>
        <w:tc>
          <w:tcPr>
            <w:tcW w:w="7747"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4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tax expense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4,145</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598</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204</w:t>
            </w:r>
          </w:p>
        </w:tc>
        <w:tc>
          <w:tcPr>
            <w:tcW w:w="65" w:type="dxa"/>
            <w:tcBorders/>
            <w:vAlign w:val="bottom"/>
          </w:tcPr>
          <w:p>
            <w:pPr>
              <w:pStyle w:val="TableContents"/>
              <w:bidi w:val="0"/>
              <w:spacing w:before="0" w:after="283"/>
              <w:jc w:val="left"/>
              <w:rPr/>
            </w:pPr>
            <w:r>
              <w:rPr/>
              <w:t> </w:t>
            </w:r>
          </w:p>
        </w:tc>
      </w:tr>
      <w:tr>
        <w:trPr/>
        <w:tc>
          <w:tcPr>
            <w:tcW w:w="77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Deferred</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7747"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(710</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7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208</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7747"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47"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expense (benefit)</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(502</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7747"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3,643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3"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3" w:type="dxa"/>
            <w:tcBorders/>
            <w:shd w:fill="CCEEFF" w:val="clear"/>
            <w:vAlign w:val="bottom"/>
          </w:tcPr>
          <w:p>
            <w:pPr>
              <w:pStyle w:val="TableContents"/>
              <w:bidi w:val="0"/>
              <w:spacing w:before="0" w:after="283"/>
              <w:jc w:val="right"/>
              <w:rPr/>
            </w:pPr>
            <w:r>
              <w:rPr/>
              <w:t>204</w:t>
            </w:r>
          </w:p>
        </w:tc>
        <w:tc>
          <w:tcPr>
            <w:tcW w:w="65" w:type="dxa"/>
            <w:tcBorders/>
            <w:shd w:fill="CCEEFF" w:val="clear"/>
            <w:vAlign w:val="bottom"/>
          </w:tcPr>
          <w:p>
            <w:pPr>
              <w:pStyle w:val="TableContents"/>
              <w:bidi w:val="0"/>
              <w:spacing w:before="0" w:after="283"/>
              <w:jc w:val="left"/>
              <w:rPr/>
            </w:pPr>
            <w:r>
              <w:rPr/>
              <w:t> </w:t>
            </w:r>
          </w:p>
        </w:tc>
      </w:tr>
      <w:tr>
        <w:trPr/>
        <w:tc>
          <w:tcPr>
            <w:tcW w:w="7747"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reconciliation of the statutory federal income tax rate to our effective tax rate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0"/>
        <w:gridCol w:w="144"/>
        <w:gridCol w:w="140"/>
        <w:gridCol w:w="787"/>
        <w:gridCol w:w="155"/>
        <w:gridCol w:w="91"/>
        <w:gridCol w:w="60"/>
        <w:gridCol w:w="535"/>
        <w:gridCol w:w="350"/>
        <w:gridCol w:w="91"/>
        <w:gridCol w:w="140"/>
        <w:gridCol w:w="642"/>
        <w:gridCol w:w="155"/>
        <w:gridCol w:w="90"/>
        <w:gridCol w:w="60"/>
        <w:gridCol w:w="535"/>
        <w:gridCol w:w="350"/>
        <w:gridCol w:w="91"/>
        <w:gridCol w:w="140"/>
        <w:gridCol w:w="787"/>
        <w:gridCol w:w="155"/>
        <w:gridCol w:w="91"/>
        <w:gridCol w:w="60"/>
        <w:gridCol w:w="535"/>
        <w:gridCol w:w="361"/>
      </w:tblGrid>
      <w:tr>
        <w:trPr/>
        <w:tc>
          <w:tcPr>
            <w:tcW w:w="36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4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61" w:type="dxa"/>
            <w:tcBorders/>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7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6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7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61" w:type="dxa"/>
            <w:tcBorders/>
            <w:vAlign w:val="bottom"/>
          </w:tcPr>
          <w:p>
            <w:pPr>
              <w:pStyle w:val="TableContents"/>
              <w:bidi w:val="0"/>
              <w:spacing w:before="0" w:after="283"/>
              <w:jc w:val="left"/>
              <w:rPr/>
            </w:pPr>
            <w:r>
              <w:rPr/>
              <w:t> </w:t>
            </w:r>
          </w:p>
        </w:tc>
      </w:tr>
      <w:tr>
        <w:trPr/>
        <w:tc>
          <w:tcPr>
            <w:tcW w:w="3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32,203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21.0</w:t>
            </w:r>
          </w:p>
        </w:tc>
        <w:tc>
          <w:tcPr>
            <w:tcW w:w="35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2" w:type="dxa"/>
            <w:tcBorders/>
            <w:shd w:fill="CCEEFF" w:val="clear"/>
            <w:vAlign w:val="bottom"/>
          </w:tcPr>
          <w:p>
            <w:pPr>
              <w:pStyle w:val="TableContents"/>
              <w:bidi w:val="0"/>
              <w:spacing w:before="0" w:after="283"/>
              <w:jc w:val="right"/>
              <w:rPr/>
            </w:pPr>
            <w:r>
              <w:rPr/>
              <w:t>2,210</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21.0</w:t>
            </w:r>
          </w:p>
        </w:tc>
        <w:tc>
          <w:tcPr>
            <w:tcW w:w="35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(23,024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21.0</w:t>
            </w:r>
          </w:p>
        </w:tc>
        <w:tc>
          <w:tcPr>
            <w:tcW w:w="361" w:type="dxa"/>
            <w:tcBorders/>
            <w:shd w:fill="CCEEFF" w:val="clear"/>
            <w:vAlign w:val="bottom"/>
          </w:tcPr>
          <w:p>
            <w:pPr>
              <w:pStyle w:val="TableContents"/>
              <w:bidi w:val="0"/>
              <w:spacing w:before="0" w:after="283"/>
              <w:jc w:val="left"/>
              <w:rPr/>
            </w:pPr>
            <w:r>
              <w:rPr/>
              <w:t>% </w:t>
            </w:r>
          </w:p>
        </w:tc>
      </w:tr>
      <w:tr>
        <w:trPr/>
        <w:tc>
          <w:tcPr>
            <w:tcW w:w="3660"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 Net of Federal Income Tax Effects(1)</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2,037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1.3</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5.7</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(0.2</w:t>
            </w:r>
          </w:p>
        </w:tc>
        <w:tc>
          <w:tcPr>
            <w:tcW w:w="361" w:type="dxa"/>
            <w:tcBorders/>
            <w:vAlign w:val="bottom"/>
          </w:tcPr>
          <w:p>
            <w:pPr>
              <w:pStyle w:val="TableContents"/>
              <w:bidi w:val="0"/>
              <w:spacing w:before="0" w:after="283"/>
              <w:jc w:val="left"/>
              <w:rPr/>
            </w:pPr>
            <w:r>
              <w:rPr/>
              <w:t>)% </w:t>
            </w:r>
          </w:p>
        </w:tc>
      </w:tr>
      <w:tr>
        <w:trPr/>
        <w:tc>
          <w:tcPr>
            <w:tcW w:w="3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3660" w:type="dxa"/>
            <w:tcBorders/>
          </w:tcPr>
          <w:p>
            <w:pPr>
              <w:pStyle w:val="TableContents"/>
              <w:bidi w:val="0"/>
              <w:spacing w:before="0" w:after="0"/>
              <w:jc w:val="left"/>
              <w:rPr>
                <w:rFonts w:ascii="Times New Roman" w:hAnsi="Times New Roman"/>
                <w:sz w:val="20"/>
              </w:rPr>
            </w:pPr>
            <w:r>
              <w:rPr>
                <w:rFonts w:ascii="Times New Roman" w:hAnsi="Times New Roman"/>
                <w:sz w:val="20"/>
              </w:rPr>
              <w:t>Partnership Income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(30,646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(20.0</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(21.0</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23,024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(21.0</w:t>
            </w:r>
          </w:p>
        </w:tc>
        <w:tc>
          <w:tcPr>
            <w:tcW w:w="361" w:type="dxa"/>
            <w:tcBorders/>
            <w:vAlign w:val="bottom"/>
          </w:tcPr>
          <w:p>
            <w:pPr>
              <w:pStyle w:val="TableContents"/>
              <w:bidi w:val="0"/>
              <w:spacing w:before="0" w:after="283"/>
              <w:jc w:val="left"/>
              <w:rPr/>
            </w:pPr>
            <w:r>
              <w:rPr/>
              <w:t>)% </w:t>
            </w:r>
          </w:p>
        </w:tc>
      </w:tr>
      <w:tr>
        <w:trPr/>
        <w:tc>
          <w:tcPr>
            <w:tcW w:w="3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0.0</w:t>
            </w:r>
          </w:p>
        </w:tc>
        <w:tc>
          <w:tcPr>
            <w:tcW w:w="35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— </w:t>
            </w:r>
          </w:p>
        </w:tc>
        <w:tc>
          <w:tcPr>
            <w:tcW w:w="361"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3660" w:type="dxa"/>
            <w:tcBorders/>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3,643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2"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5.7</w:t>
            </w:r>
          </w:p>
        </w:tc>
        <w:tc>
          <w:tcPr>
            <w:tcW w:w="35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(0.2</w:t>
            </w:r>
          </w:p>
        </w:tc>
        <w:tc>
          <w:tcPr>
            <w:tcW w:w="361" w:type="dxa"/>
            <w:tcBorders/>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taxes in Texas made up the majority (greater than 50 percent) of the tax effect in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components of the Company’s deferred income tax assets and liabilities consist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93"/>
        <w:gridCol w:w="157"/>
        <w:gridCol w:w="140"/>
        <w:gridCol w:w="635"/>
        <w:gridCol w:w="155"/>
        <w:gridCol w:w="122"/>
        <w:gridCol w:w="140"/>
        <w:gridCol w:w="398"/>
        <w:gridCol w:w="65"/>
      </w:tblGrid>
      <w:tr>
        <w:trPr/>
        <w:tc>
          <w:tcPr>
            <w:tcW w:w="8393"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39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5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839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8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839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740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839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8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740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393"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839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8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740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39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8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(1,311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393"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(4,215</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8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(553</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39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8393"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(6,079</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839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8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assets/(liabilities)</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(5,339</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39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had net operating loss carryforwards for state income tax purposes of approximately $1,090, available to offset future taxable income. Of the state net operating loss carryforwards, $908 can be carried forward indefinitely, while the remaining $182 will begin to expire in 2033. </w:t>
      </w:r>
    </w:p>
    <w:p>
      <w:pPr>
        <w:pStyle w:val="TextBody"/>
        <w:bidi w:val="0"/>
        <w:spacing w:before="240" w:after="0"/>
        <w:jc w:val="left"/>
        <w:rPr>
          <w:rFonts w:ascii="Times New Roman" w:hAnsi="Times New Roman"/>
          <w:sz w:val="20"/>
        </w:rPr>
      </w:pPr>
      <w:r>
        <w:rPr>
          <w:rFonts w:ascii="Times New Roman" w:hAnsi="Times New Roman"/>
          <w:sz w:val="20"/>
        </w:rPr>
        <w:t xml:space="preserve">In the normal course of business, the Company is subject to examination by federal and state taxing authorities. The Company is not currently under any examination by the federal or state tax authorities; however, the prior four years are subject to examination in its largest state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the date the financial statements were issued for disclosure or recognition in the consolidated financial statements and concluded there were no subsequent events that required recognition or disclosure except for the following: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Redemption and American Securities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20, 2025, SOLV Energy Parent Holdings LP redeemed the units held by a minority investor in exchange for a $112,500 note secured by a first priority lien on all of SOLV Energy Parent Holdings LP’s assets, including its equity interests in the Company. The $112,500 note was settled on January 6, 2026 using cash on hand distributed upstream to SOLV Energy Parent Holdings LP from the Company. In connection with the redemption, the Company entered into a loan agreement, dated as of January 5, 2026 (the “AS Loan Agreement”), with affiliated funds of American Securities (the “AS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AS Loan Agreement the AS Loan Parties agreed to provide a commitment of up to $115,000 in exchange for a commitment fee of $110. The Company did not draw any amounts under the AS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AS Loan Agreement was terminated on February 12, 2026 at the closing of the IPO. </w:t>
      </w:r>
    </w:p>
    <w:p>
      <w:pPr>
        <w:pStyle w:val="TextBody"/>
        <w:bidi w:val="0"/>
        <w:spacing w:before="360" w:after="0"/>
        <w:jc w:val="left"/>
        <w:rPr>
          <w:rFonts w:ascii="Times New Roman" w:hAnsi="Times New Roman"/>
          <w:b/>
          <w:i/>
          <w:sz w:val="20"/>
        </w:rPr>
      </w:pPr>
      <w:r>
        <w:rPr>
          <w:rFonts w:ascii="Times New Roman" w:hAnsi="Times New Roman"/>
          <w:b/>
          <w:i/>
          <w:sz w:val="20"/>
        </w:rPr>
        <w:t xml:space="preserve">SDI Deferred Acquisition Payment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2026, the Company settled the remaining $5,500 deferred acquisition payment obligation related to the SDI acquisition in accordance with the terms of the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Initial Public Offering and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2026, SOLV Energy, Inc. (the “Corporation”) successfully completed an initial public offering (the “IPO”) of 23,575,000 shares of its Class A common stock for net proceeds of approximately $552,500 after deducting the underwriters’ discount and expenses and commissions payable.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IPO, the Company amended and restated its limited liability company agreement to, among other things, (i) recapitalize all existing ownership interests in the Company into a single class of common units (“LLC Interests”) and (ii) appoint a wholly-owned subsidiary of SOLV Energy, Inc. as the sole managing member of the Company upon or prior to the acquisition of LLC Interests by the SOLV Energy, Inc. in connection with the IPO. Simultaneously with the IPO, the Corporation amended and restated its certificate of incorporation to, among other things, provide (i) for Class A common stock, with each share of its Class A common stock entitling its holder to one vote per share on all matters presented to our stockholders generally and (ii)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a result, SOLV Energy, Inc. became a holding company and the sole manager of the Company, through its wholly owned subsidiary, with no material assets other than the ownership of the voting membership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connection with the IPO and the related liquidation of SOLV Energy Parent Holdings LP, all outstanding Restricted Class C Units (including Legacy SOLV Units and Additional C Units issued in connection with the Merger) were converted into common units of SOLV Energy Holdings LLC. Vested Class C Units were converted into vested common units. Unvested Time Units were converted into unvested common units subject to the same time-based vesting schedule. Unvested Performance Units were converted into common units and treated as Time Units at the time of original grant, with time-based vesting deemed to have commenced on the original vesting start date, resulting in a portion becoming vested and the remaining portion continuing to vest on the same schedule, subject to continued employment or service.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IPO, SOLV Energy Parent Holdings LP was liquidated by distributing LLC Interests and nominal cash to the Continuing Equity Owners. SOLV Energy, Inc. acquired the LLC Interests held by certain Continuing Equity Owners in exchange for 91,773,571 shares of its Class A common stock. After giving effect to the use of proceeds from the IPO, SOLV Energy, Inc. issued 87,141,865 shares of Class B common stock to the Continuing Equity Owners, which is equal to the number of LLC Interests held by such Continuing Equity Owners, for nominal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IPO, SOLV Energy, Inc. used the net proceeds from the IPO to purchase 23,575,000 newly issued LLC Interests directly and/or indirectly from the Company at a price per unit equal to the IPO price per share of Class A common stock less the underwriting discounts and commissions.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the Corporation entered into a Tax Receivable Agreement (the “TRA”) with the Continuing Equity Owners and the Blocker Shareholders (collectively, the “TRA Participants”), pursuant to which the Corporation is obligated to pay the TRA Participants 85% of certain tax benefits, if any, that the Corporation realizes (or, in some circumstances, is deemed to realize) as a result of certain tax basis adjustments and other tax attributes related to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the Corporation adopted the SOLV Energy, Inc. 2026 Equity Incentive Plan (the “2026 Plan”), which became effective immediately prior to the effectiveness of the Corporation’s registration statement on Form S-1, subject to stockholder approval. The 2026 Plan provides for the issuance of up to 7,500,000 shares of Class A common stock for equity-based awards, as adjusted in accordance with the terms of the plan, and includes an annual automatic increase in the share reserve equal to 3% of the total number of shares of Class A common stock outstanding as of the end of the immediately preceding fiscal year, beginning on January 1 following the IPO and continuing through the ninth anniversary of the effective date of the 2026 Plan, unless the Corporation’s board of directors determines a lesser increase for any such year. </w:t>
      </w:r>
    </w:p>
    <w:p>
      <w:pPr>
        <w:pStyle w:val="TextBody"/>
        <w:bidi w:val="0"/>
        <w:spacing w:before="240" w:after="0"/>
        <w:jc w:val="left"/>
        <w:rPr>
          <w:rFonts w:ascii="Times New Roman" w:hAnsi="Times New Roman"/>
          <w:sz w:val="20"/>
        </w:rPr>
      </w:pPr>
      <w:r>
        <w:rPr>
          <w:rFonts w:ascii="Times New Roman" w:hAnsi="Times New Roman"/>
          <w:sz w:val="20"/>
        </w:rPr>
        <w:t xml:space="preserve">The 2026 Plan permits the grant of stock options, stock appreciation rights, restricted stock, restricted stock units and other stock-based awards to eligible employees, officers, non-employee directors and other service providers of the Corporation and its subsidiaries. The 2026 Plan is administered by the Corporation’s board of directors or a committee thereof and provides for customary limitations, including an annual compensation limit applicable to non-employee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Extinguishment of Amended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IPO and the application of the net proceeds therefrom, the Corporation caused the Company to fully repay outstanding term debt under the Amended Credit Agreement of approximately $401,100.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Concurrently, the Company terminated its existing Amended Revolver and entered into a new revolving credit facility with various lenders providing for revolving borrowings in an aggregate principal amount of $200,000. The new revolving credit facility has a five-year term ending February 12, 2031. The obligations under the new revolving credit facility are secured by substantially all of the assets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bookmarkStart w:id="28" w:name="toc31834_13"/>
            <w:bookmarkEnd w:id="28"/>
            <w:r>
              <w:rPr>
                <w:b/>
              </w:rPr>
              <w:t>ITEM 9.</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AND DISAGREEMENTS WITH ACCOUNTANTS ON ACCOUNTING AND FINANCIAL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bookmarkStart w:id="29" w:name="toc31834_14"/>
            <w:bookmarkEnd w:id="29"/>
            <w:r>
              <w:rPr>
                <w:b/>
              </w:rPr>
              <w:t>ITEM 9A.</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(“CEO”) and Chief Financial Officer (“CFO”),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under the supervision and with the participation of our CEO and CFO, evaluated the effectiveness of our disclosure controls and procedures, as defined in Rules 13a-15(e) and 15(d)-15(e) of the Exchange Act, as of December 31, 2025. Based on such evaluation, our CEO and CFO have concluded that as of December 31, 2025, our disclosure controls and procedures were not effective due to the material weaknesses in our internal control over financial reporting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Weaknesses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identified material weaknesses in our internal control over financial reporting as of December 31, 2025.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We identified the following material weaknesses in our internal control over financial reporting: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 as well as controls pertaining to completeness and accuracy of indirect tax accruals on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 obligation disclosures. Further, we did not have sufficient personnel with an appropriate level of technical accounting knowledge to review our revenue recognition conclusions.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effective controls over the review of third-party analyses to determine fair value for purposes of goodwill impairment assessments, business combinations and equity award valuations, including review of significant assumptions and valuation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IT general controls related to user access, change management, segregation of duties, and system operations within all IT systems and applications deemed relevant to our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Considering the foregoing, we did not maintain sufficient resources to support effective internal control over financial reporting, including personnel with an appropriate level of technical accounting and public company reporting expertise. In addition, we did not select and develop effective control activities across relevant financial reporting processes, including control activities over technology and generation of data, did not establish and deploy adequate policies and procedures and did not adequately capture and communicate certain risks or impacts due to changes in risks to support the execution of control activities. Accordingly, management concluded that these deficiencies in entity level controls also constitute a material weakness. </w:t>
      </w:r>
    </w:p>
    <w:p>
      <w:pPr>
        <w:pStyle w:val="TextBody"/>
        <w:bidi w:val="0"/>
        <w:spacing w:before="240" w:after="0"/>
        <w:jc w:val="left"/>
        <w:rPr>
          <w:rFonts w:ascii="Times New Roman" w:hAnsi="Times New Roman"/>
          <w:sz w:val="20"/>
        </w:rPr>
      </w:pPr>
      <w:r>
        <w:rPr>
          <w:rFonts w:ascii="Times New Roman" w:hAnsi="Times New Roman"/>
          <w:sz w:val="20"/>
        </w:rPr>
        <w:t xml:space="preserve">Nonetheless, management believes that our consolidated financial statements included in this filing have been prepared in accordance with generally accepted accounting principles. Our CEO and CFO have certified that, based on such officer’s knowledge, the financial statements and other financial information included in this filing fairly present in all material respects the financial condition, results of operations and cash flows of the Company as of, and for, the periods presented. In addition, we developed and are implementing a remediation plan for the material weaknesses,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Remediation Efforts </w:t>
      </w:r>
    </w:p>
    <w:p>
      <w:pPr>
        <w:pStyle w:val="TextBody"/>
        <w:bidi w:val="0"/>
        <w:spacing w:before="120" w:after="0"/>
        <w:jc w:val="left"/>
        <w:rPr>
          <w:rFonts w:ascii="Times New Roman" w:hAnsi="Times New Roman"/>
          <w:sz w:val="20"/>
        </w:rPr>
      </w:pPr>
      <w:r>
        <w:rPr>
          <w:rFonts w:ascii="Times New Roman" w:hAnsi="Times New Roman"/>
          <w:sz w:val="20"/>
        </w:rPr>
        <w:t xml:space="preserve">We take the remediation of the material weaknesses described above seriously and continue to take steps to establish effective internal control over financial reporting. We have made progress in executing our remediation plan and are continuing to enhance our control environment, including through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designing and documenting the Company’s internal control framework and implementing entity level, business process and IT controls. This includes formalizing and performing additional control activities across key financial reporting processes, including process-level and transaction-level controls in areas such as procure-to-pay, revenue recognition, fair value measurements and other significant estimates, period-end financial reporting, and IT General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enhancing our risk assessment procedures through the use of more formalized assessments that consider business risks relevant to financial reporting objectives, including identification of significant entities, accounts, processes and systems, and the relevant assertions, which are refreshed as changes in risk occur and communicating the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strengthening our internal communications around the importance of internal controls and establishing broader oversight responsibilities, including through the use of a formal executive-level Steering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hire and integrate additional personnel with technical accounting, information technology and public company reporting experience, including individuals with responsibility for the design, execution and review of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enhancing accounting policies and procedures to support the consistent execution, review and documentation of controls across key processes and significant accounting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training and other internal communications to relevant personnel, including process owners and control owners regarding related responsibilities for the design, execution and documentation of internal controls including the generation of data;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implementing additional system capabilities related to procurement to improve process standardization, approvals, and documentation.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believe these actions are improving our internal control over financial reporting, our remediation efforts are ongoing, and the material weaknesses described above will not be considered remediated until the applicable controls have been fully designed and implemented, have operated for a sufficient period of time, and management has concluded, through testing, that these controls are operating effectively.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remediation measures described above, 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Effectiveness of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A control system, no matter how well-designed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controls. </w:t>
      </w:r>
    </w:p>
    <w:p>
      <w:pPr>
        <w:pStyle w:val="TextBody"/>
        <w:bidi w:val="0"/>
        <w:spacing w:before="360" w:after="0"/>
        <w:jc w:val="left"/>
        <w:rPr>
          <w:rFonts w:ascii="Times New Roman" w:hAnsi="Times New Roman"/>
          <w:b/>
          <w:sz w:val="20"/>
        </w:rPr>
      </w:pPr>
      <w:bookmarkStart w:id="30" w:name="toc31834_15"/>
      <w:bookmarkEnd w:id="30"/>
      <w:r>
        <w:rPr>
          <w:rFonts w:ascii="Times New Roman" w:hAnsi="Times New Roman"/>
          <w:b/>
          <w:sz w:val="20"/>
        </w:rPr>
        <w:t xml:space="preserve">ITEM 9B.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December 31, 2025, no director or officer adopted or terminated a “Rule 10b5-1 trading arrangement” or “non-Rule 10b5-1 trading arrangement,” as each term is defined in Item 408 of Regulation S-K. </w:t>
      </w:r>
    </w:p>
    <w:p>
      <w:pPr>
        <w:pStyle w:val="TextBody"/>
        <w:bidi w:val="0"/>
        <w:spacing w:before="360" w:after="0"/>
        <w:jc w:val="left"/>
        <w:rPr>
          <w:rFonts w:ascii="Times New Roman" w:hAnsi="Times New Roman"/>
          <w:b/>
          <w:sz w:val="20"/>
        </w:rPr>
      </w:pPr>
      <w:bookmarkStart w:id="31" w:name="toc31834_16"/>
      <w:bookmarkEnd w:id="31"/>
      <w:r>
        <w:rPr>
          <w:rFonts w:ascii="Times New Roman" w:hAnsi="Times New Roman"/>
          <w:b/>
          <w:sz w:val="20"/>
        </w:rPr>
        <w:t xml:space="preserve">ITEM 9C. DISCLOSURE REGARDING FOREIGN JURISDICTIONS THAT PREVENT INSPECTIONS.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31834_28"/>
      <w:bookmarkEnd w:id="32"/>
      <w:r>
        <w:rPr>
          <w:rFonts w:ascii="Times New Roman" w:hAnsi="Times New Roman"/>
          <w:b/>
          <w:sz w:val="20"/>
        </w:rPr>
        <w:t xml:space="preserve">PART III </w:t>
      </w:r>
    </w:p>
    <w:p>
      <w:pPr>
        <w:pStyle w:val="TextBody"/>
        <w:bidi w:val="0"/>
        <w:spacing w:before="240" w:after="0"/>
        <w:jc w:val="left"/>
        <w:rPr>
          <w:rFonts w:ascii="Times New Roman" w:hAnsi="Times New Roman"/>
          <w:b/>
          <w:sz w:val="20"/>
        </w:rPr>
      </w:pPr>
      <w:bookmarkStart w:id="33" w:name="toc31834_17"/>
      <w:bookmarkEnd w:id="33"/>
      <w:r>
        <w:rPr>
          <w:rFonts w:ascii="Times New Roman" w:hAnsi="Times New Roman"/>
          <w:b/>
          <w:sz w:val="20"/>
        </w:rPr>
        <w:t xml:space="preserve">ITEM 10. DIRECTORS, EXECUTIVE OFFICERS AND CORPORATE GOVERNANCE. </w:t>
      </w:r>
    </w:p>
    <w:p>
      <w:pPr>
        <w:pStyle w:val="TextBody"/>
        <w:bidi w:val="0"/>
        <w:spacing w:before="12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names and ages, as of the date of this Annual Report, of the individuals who serve as our executive officers and members of our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23"/>
        <w:gridCol w:w="120"/>
        <w:gridCol w:w="567"/>
        <w:gridCol w:w="216"/>
        <w:gridCol w:w="6279"/>
      </w:tblGrid>
      <w:tr>
        <w:trPr/>
        <w:tc>
          <w:tcPr>
            <w:tcW w:w="30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6279" w:type="dxa"/>
            <w:tcBorders/>
            <w:vAlign w:val="center"/>
          </w:tcPr>
          <w:p>
            <w:pPr>
              <w:pStyle w:val="TableContents"/>
              <w:bidi w:val="0"/>
              <w:spacing w:before="0" w:after="283"/>
              <w:jc w:val="left"/>
              <w:rPr>
                <w:sz w:val="4"/>
                <w:szCs w:val="4"/>
              </w:rPr>
            </w:pPr>
            <w:r>
              <w:rPr>
                <w:sz w:val="4"/>
                <w:szCs w:val="4"/>
              </w:rPr>
            </w:r>
          </w:p>
        </w:tc>
      </w:tr>
      <w:tr>
        <w:trPr/>
        <w:tc>
          <w:tcPr>
            <w:tcW w:w="302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67"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16" w:type="dxa"/>
            <w:tcBorders/>
            <w:vAlign w:val="bottom"/>
          </w:tcPr>
          <w:p>
            <w:pPr>
              <w:pStyle w:val="TableContents"/>
              <w:bidi w:val="0"/>
              <w:spacing w:before="0" w:after="283"/>
              <w:jc w:val="left"/>
              <w:rPr/>
            </w:pPr>
            <w:r>
              <w:rPr/>
              <w:t>  </w:t>
            </w:r>
          </w:p>
        </w:tc>
        <w:tc>
          <w:tcPr>
            <w:tcW w:w="62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023" w:type="dxa"/>
            <w:tcBorders/>
          </w:tcPr>
          <w:p>
            <w:pPr>
              <w:pStyle w:val="TableContents"/>
              <w:bidi w:val="0"/>
              <w:spacing w:before="0" w:after="283"/>
              <w:jc w:val="left"/>
              <w:rPr/>
            </w:pPr>
            <w:r>
              <w:rPr/>
              <w:t>George Hershman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56</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Executive Officer and Director</w:t>
            </w:r>
          </w:p>
        </w:tc>
      </w:tr>
      <w:tr>
        <w:trPr/>
        <w:tc>
          <w:tcPr>
            <w:tcW w:w="3023" w:type="dxa"/>
            <w:tcBorders/>
          </w:tcPr>
          <w:p>
            <w:pPr>
              <w:pStyle w:val="TableContents"/>
              <w:bidi w:val="0"/>
              <w:spacing w:before="0" w:after="283"/>
              <w:jc w:val="left"/>
              <w:rPr/>
            </w:pPr>
            <w:r>
              <w:rPr/>
              <w:t>Chad Plotkin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50</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Financial Officer</w:t>
            </w:r>
          </w:p>
        </w:tc>
      </w:tr>
      <w:tr>
        <w:trPr/>
        <w:tc>
          <w:tcPr>
            <w:tcW w:w="3023" w:type="dxa"/>
            <w:tcBorders/>
          </w:tcPr>
          <w:p>
            <w:pPr>
              <w:pStyle w:val="TableContents"/>
              <w:bidi w:val="0"/>
              <w:spacing w:before="0" w:after="283"/>
              <w:jc w:val="left"/>
              <w:rPr/>
            </w:pPr>
            <w:r>
              <w:rPr/>
              <w:t>Kevin Deters</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53</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Operating Officer</w:t>
            </w:r>
          </w:p>
        </w:tc>
      </w:tr>
      <w:tr>
        <w:trPr/>
        <w:tc>
          <w:tcPr>
            <w:tcW w:w="3023" w:type="dxa"/>
            <w:tcBorders/>
          </w:tcPr>
          <w:p>
            <w:pPr>
              <w:pStyle w:val="TableContents"/>
              <w:bidi w:val="0"/>
              <w:spacing w:before="0" w:after="283"/>
              <w:jc w:val="left"/>
              <w:rPr/>
            </w:pPr>
            <w:r>
              <w:rPr/>
              <w:t>Adam Forman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58</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Legal Officer</w:t>
            </w:r>
          </w:p>
        </w:tc>
      </w:tr>
      <w:tr>
        <w:trPr/>
        <w:tc>
          <w:tcPr>
            <w:tcW w:w="3023" w:type="dxa"/>
            <w:tcBorders/>
          </w:tcPr>
          <w:p>
            <w:pPr>
              <w:pStyle w:val="TableContents"/>
              <w:bidi w:val="0"/>
              <w:spacing w:before="0" w:after="283"/>
              <w:jc w:val="left"/>
              <w:rPr/>
            </w:pPr>
            <w:r>
              <w:rPr/>
              <w:t>Erik Johnson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55</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Strategy Officer</w:t>
            </w:r>
          </w:p>
        </w:tc>
      </w:tr>
      <w:tr>
        <w:trPr/>
        <w:tc>
          <w:tcPr>
            <w:tcW w:w="3023" w:type="dxa"/>
            <w:tcBorders/>
          </w:tcPr>
          <w:p>
            <w:pPr>
              <w:pStyle w:val="TableContents"/>
              <w:bidi w:val="0"/>
              <w:spacing w:before="0" w:after="283"/>
              <w:jc w:val="left"/>
              <w:rPr/>
            </w:pPr>
            <w:r>
              <w:rPr/>
              <w:t>Brandi Pearson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45</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People Officer</w:t>
            </w:r>
          </w:p>
        </w:tc>
      </w:tr>
      <w:tr>
        <w:trPr/>
        <w:tc>
          <w:tcPr>
            <w:tcW w:w="3023" w:type="dxa"/>
            <w:tcBorders/>
          </w:tcPr>
          <w:p>
            <w:pPr>
              <w:pStyle w:val="TableContents"/>
              <w:bidi w:val="0"/>
              <w:spacing w:before="0" w:after="283"/>
              <w:jc w:val="left"/>
              <w:rPr/>
            </w:pPr>
            <w:r>
              <w:rPr/>
              <w:t>Dave Grubb, Jr.</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63</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Commercial Officer</w:t>
            </w:r>
          </w:p>
        </w:tc>
      </w:tr>
      <w:tr>
        <w:trPr/>
        <w:tc>
          <w:tcPr>
            <w:tcW w:w="3023" w:type="dxa"/>
            <w:tcBorders/>
          </w:tcPr>
          <w:p>
            <w:pPr>
              <w:pStyle w:val="TableContents"/>
              <w:bidi w:val="0"/>
              <w:spacing w:before="0" w:after="283"/>
              <w:jc w:val="left"/>
              <w:rPr/>
            </w:pPr>
            <w:r>
              <w:rPr/>
              <w:t>Eric Valleton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48</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Technology Officer</w:t>
            </w:r>
          </w:p>
        </w:tc>
      </w:tr>
      <w:tr>
        <w:trPr/>
        <w:tc>
          <w:tcPr>
            <w:tcW w:w="3023" w:type="dxa"/>
            <w:tcBorders/>
          </w:tcPr>
          <w:p>
            <w:pPr>
              <w:pStyle w:val="TableContents"/>
              <w:bidi w:val="0"/>
              <w:spacing w:before="0" w:after="283"/>
              <w:jc w:val="left"/>
              <w:rPr/>
            </w:pPr>
            <w:r>
              <w:rPr/>
              <w:t>Helena Kimball</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48</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Chief Revenue Officer</w:t>
            </w:r>
          </w:p>
        </w:tc>
      </w:tr>
      <w:tr>
        <w:trPr/>
        <w:tc>
          <w:tcPr>
            <w:tcW w:w="3023" w:type="dxa"/>
            <w:tcBorders/>
          </w:tcPr>
          <w:p>
            <w:pPr>
              <w:pStyle w:val="TableContents"/>
              <w:bidi w:val="0"/>
              <w:spacing w:before="0" w:after="283"/>
              <w:jc w:val="left"/>
              <w:rPr/>
            </w:pPr>
            <w:r>
              <w:rPr/>
              <w:t>Ron Stark</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61</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Senior Vice President, Controller and Principal Accounting Officer</w:t>
            </w:r>
          </w:p>
        </w:tc>
      </w:tr>
      <w:tr>
        <w:trPr/>
        <w:tc>
          <w:tcPr>
            <w:tcW w:w="3023" w:type="dxa"/>
            <w:tcBorders/>
          </w:tcPr>
          <w:p>
            <w:pPr>
              <w:pStyle w:val="TableContents"/>
              <w:bidi w:val="0"/>
              <w:spacing w:before="0" w:after="283"/>
              <w:jc w:val="left"/>
              <w:rPr/>
            </w:pPr>
            <w:r>
              <w:rPr/>
              <w:t>Kevin S. Penn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64</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Michael Sand</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44</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David Portnoy</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37</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J. Adam Abram</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70</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Steven Lerner</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71</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Laura Stern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58</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William Jackson</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65</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Daniel McQuade</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66</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r>
        <w:trPr/>
        <w:tc>
          <w:tcPr>
            <w:tcW w:w="3023" w:type="dxa"/>
            <w:tcBorders/>
          </w:tcPr>
          <w:p>
            <w:pPr>
              <w:pStyle w:val="TableContents"/>
              <w:bidi w:val="0"/>
              <w:spacing w:before="0" w:after="283"/>
              <w:jc w:val="left"/>
              <w:rPr/>
            </w:pPr>
            <w:r>
              <w:rPr/>
              <w:t>Nancy Stefanowicz</w:t>
            </w:r>
          </w:p>
        </w:tc>
        <w:tc>
          <w:tcPr>
            <w:tcW w:w="120" w:type="dxa"/>
            <w:tcBorders/>
            <w:vAlign w:val="bottom"/>
          </w:tcPr>
          <w:p>
            <w:pPr>
              <w:pStyle w:val="TableContents"/>
              <w:bidi w:val="0"/>
              <w:spacing w:before="0" w:after="283"/>
              <w:jc w:val="left"/>
              <w:rPr/>
            </w:pPr>
            <w:r>
              <w:rPr/>
              <w:t>  </w:t>
            </w:r>
          </w:p>
        </w:tc>
        <w:tc>
          <w:tcPr>
            <w:tcW w:w="567" w:type="dxa"/>
            <w:tcBorders/>
          </w:tcPr>
          <w:p>
            <w:pPr>
              <w:pStyle w:val="TableContents"/>
              <w:bidi w:val="0"/>
              <w:spacing w:before="0" w:after="283"/>
              <w:jc w:val="center"/>
              <w:rPr/>
            </w:pPr>
            <w:r>
              <w:rPr/>
              <w:t>61</w:t>
            </w:r>
          </w:p>
        </w:tc>
        <w:tc>
          <w:tcPr>
            <w:tcW w:w="216" w:type="dxa"/>
            <w:tcBorders/>
            <w:vAlign w:val="bottom"/>
          </w:tcPr>
          <w:p>
            <w:pPr>
              <w:pStyle w:val="TableContents"/>
              <w:bidi w:val="0"/>
              <w:spacing w:before="0" w:after="283"/>
              <w:jc w:val="left"/>
              <w:rPr/>
            </w:pPr>
            <w:r>
              <w:rPr/>
              <w:t>  </w:t>
            </w:r>
          </w:p>
        </w:tc>
        <w:tc>
          <w:tcPr>
            <w:tcW w:w="6279" w:type="dxa"/>
            <w:tcBorders/>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George Hershman</w:t>
      </w:r>
      <w:r>
        <w:rPr>
          <w:rFonts w:ascii="Times New Roman" w:hAnsi="Times New Roman"/>
          <w:sz w:val="20"/>
        </w:rPr>
        <w:t xml:space="preserve"> has served as our Chief Executive Officer and Director since December 2021. Prior to December 2021, Mr. Hershman served in various capacities at Swinerton Builders since 1997, most recently serving as president of Swinerton Renewable Energy from January 2017 to December 2021. Mr. Hershman has served as a member of the board of directors of the Solar Energy Industries Association, a non-profit trade association, since 2013 and previously served as the organization’s chairman from January 2020 to December 2023. We believe Mr. Hershman’s knowledge of SOLV Energy, Inc. and extensive experience in the solar and renewable energy industry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Chad Plotkin</w:t>
      </w:r>
      <w:r>
        <w:rPr>
          <w:rFonts w:ascii="Times New Roman" w:hAnsi="Times New Roman"/>
          <w:sz w:val="20"/>
        </w:rPr>
        <w:t xml:space="preserve"> has served as our Chief Financial Officer since January 2025. Prior to joining us in January 2025, Mr. Plotkin served as a managing director in the infrastructure business at Blackstone, a global investment firm, from August 2022 to January 2025. Prior to August 2022, Mr. Plotkin served as chief financial officer and executive vice president at Clearway Energy, Inc. (formerly NRG Yield, Inc.), a publicly traded energy infrastructure investor, from November 2016 to August 2022. </w:t>
      </w:r>
    </w:p>
    <w:p>
      <w:pPr>
        <w:pStyle w:val="TextBody"/>
        <w:bidi w:val="0"/>
        <w:spacing w:before="240" w:after="0"/>
        <w:jc w:val="left"/>
        <w:rPr>
          <w:rFonts w:ascii="Times New Roman" w:hAnsi="Times New Roman"/>
          <w:sz w:val="20"/>
        </w:rPr>
      </w:pPr>
      <w:r>
        <w:rPr>
          <w:rFonts w:ascii="Times New Roman" w:hAnsi="Times New Roman"/>
          <w:b/>
          <w:sz w:val="20"/>
        </w:rPr>
        <w:t>Kevin Deters</w:t>
      </w:r>
      <w:r>
        <w:rPr>
          <w:rFonts w:ascii="Times New Roman" w:hAnsi="Times New Roman"/>
          <w:sz w:val="20"/>
        </w:rPr>
        <w:t xml:space="preserve"> has served as our Chief Operating Officer since January 2024. Prior to January 2024, Mr. Deters served as president of MYR Energy Services Inc., a holding company of specialty electrical construction service providers, from October 2019 to December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Adam Forman</w:t>
      </w:r>
      <w:r>
        <w:rPr>
          <w:rFonts w:ascii="Times New Roman" w:hAnsi="Times New Roman"/>
          <w:sz w:val="20"/>
        </w:rPr>
        <w:t xml:space="preserve"> has served as our Chief Legal Officer since November 2025. Prior to joining us, Mr. Forman served as executive vice president, general counsel and secretary at EnLink Midstream, LLC, a publicly traded integrated midstream energy services company. Prior to September 2023, Mr. Forman spent almost 24 years at Kinder Morgan, Inc., a publicly traded energy infrastructure company, most recently serving as vice president, deputy general counsel and secretary. </w:t>
      </w:r>
    </w:p>
    <w:p>
      <w:pPr>
        <w:pStyle w:val="TextBody"/>
        <w:bidi w:val="0"/>
        <w:spacing w:before="240" w:after="0"/>
        <w:jc w:val="left"/>
        <w:rPr>
          <w:rFonts w:ascii="Times New Roman" w:hAnsi="Times New Roman"/>
          <w:sz w:val="20"/>
        </w:rPr>
      </w:pPr>
      <w:r>
        <w:rPr>
          <w:rFonts w:ascii="Times New Roman" w:hAnsi="Times New Roman"/>
          <w:b/>
          <w:sz w:val="20"/>
        </w:rPr>
        <w:t>Erik Johnson</w:t>
      </w:r>
      <w:r>
        <w:rPr>
          <w:rFonts w:ascii="Times New Roman" w:hAnsi="Times New Roman"/>
          <w:sz w:val="20"/>
        </w:rPr>
        <w:t xml:space="preserve"> has served as our Chief Strategy Officer since December 2021. Prior to December 2021, Mr. Johnson served as operations manager from March 2019 to November 2021 and director of engineering from December 2011 to March 2019 at Swinerton Renewable Energy. </w:t>
      </w:r>
    </w:p>
    <w:p>
      <w:pPr>
        <w:pStyle w:val="TextBody"/>
        <w:bidi w:val="0"/>
        <w:spacing w:before="240" w:after="0"/>
        <w:jc w:val="left"/>
        <w:rPr>
          <w:rFonts w:ascii="Times New Roman" w:hAnsi="Times New Roman"/>
          <w:sz w:val="20"/>
        </w:rPr>
      </w:pPr>
      <w:r>
        <w:rPr>
          <w:rFonts w:ascii="Times New Roman" w:hAnsi="Times New Roman"/>
          <w:b/>
          <w:sz w:val="20"/>
        </w:rPr>
        <w:t>Brandi Pearson</w:t>
      </w:r>
      <w:r>
        <w:rPr>
          <w:rFonts w:ascii="Times New Roman" w:hAnsi="Times New Roman"/>
          <w:sz w:val="20"/>
        </w:rPr>
        <w:t xml:space="preserve"> has served as our Chief People Officer since December 2021. Prior to December 2021, Ms. Pearson served as human resources manager at Swinerton Renewable Energy from July 2017 to December 2021. </w:t>
      </w:r>
    </w:p>
    <w:p>
      <w:pPr>
        <w:pStyle w:val="TextBody"/>
        <w:bidi w:val="0"/>
        <w:spacing w:before="240" w:after="0"/>
        <w:jc w:val="left"/>
        <w:rPr>
          <w:rFonts w:ascii="Times New Roman" w:hAnsi="Times New Roman"/>
          <w:sz w:val="20"/>
        </w:rPr>
      </w:pPr>
      <w:r>
        <w:rPr>
          <w:rFonts w:ascii="Times New Roman" w:hAnsi="Times New Roman"/>
          <w:b/>
          <w:sz w:val="20"/>
        </w:rPr>
        <w:t>Dave Grubb, Jr.</w:t>
      </w:r>
      <w:r>
        <w:rPr>
          <w:rFonts w:ascii="Times New Roman" w:hAnsi="Times New Roman"/>
          <w:sz w:val="20"/>
        </w:rPr>
        <w:t xml:space="preserve"> has served as our Chief Commercial Officer since December 2023 and previously served as our Chief Operating Officer from December 2021 to December 2023. Prior to December 2021, Mr. Grubb served in various capacities at Swinerton Builders since 1985, most recently serving as vice president and operations manager at Swinerton Renewable Energy from January 2010 to December 2021. </w:t>
      </w:r>
    </w:p>
    <w:p>
      <w:pPr>
        <w:pStyle w:val="TextBody"/>
        <w:bidi w:val="0"/>
        <w:spacing w:before="240" w:after="0"/>
        <w:jc w:val="left"/>
        <w:rPr>
          <w:rFonts w:ascii="Times New Roman" w:hAnsi="Times New Roman"/>
          <w:sz w:val="20"/>
        </w:rPr>
      </w:pPr>
      <w:r>
        <w:rPr>
          <w:rFonts w:ascii="Times New Roman" w:hAnsi="Times New Roman"/>
          <w:b/>
          <w:sz w:val="20"/>
        </w:rPr>
        <w:t>Eric Valleton</w:t>
      </w:r>
      <w:r>
        <w:rPr>
          <w:rFonts w:ascii="Times New Roman" w:hAnsi="Times New Roman"/>
          <w:sz w:val="20"/>
        </w:rPr>
        <w:t xml:space="preserve"> has served as our Chief Technology Officer since December 2021. Prior to December 2021, Mr. Valleton served as chief technology officer from March 2019 to November 2021 and SCADA engineering manager from September 2014 to March 2019 at Swinerton Renewable Energy. </w:t>
      </w:r>
    </w:p>
    <w:p>
      <w:pPr>
        <w:pStyle w:val="TextBody"/>
        <w:bidi w:val="0"/>
        <w:spacing w:before="240" w:after="0"/>
        <w:jc w:val="left"/>
        <w:rPr>
          <w:rFonts w:ascii="Times New Roman" w:hAnsi="Times New Roman"/>
          <w:sz w:val="20"/>
        </w:rPr>
      </w:pPr>
      <w:r>
        <w:rPr>
          <w:rFonts w:ascii="Times New Roman" w:hAnsi="Times New Roman"/>
          <w:b/>
          <w:sz w:val="20"/>
        </w:rPr>
        <w:t>Helena Kimball</w:t>
      </w:r>
      <w:r>
        <w:rPr>
          <w:rFonts w:ascii="Times New Roman" w:hAnsi="Times New Roman"/>
          <w:sz w:val="20"/>
        </w:rPr>
        <w:t xml:space="preserve"> has served as our Chief Revenue Officer since January 2026 and previously served as our Senior Vice President of Business Development from June 2024 to December 2025. Prior to June 2024, Ms. Kimball served in various capacities at Ojjo, Inc., a renewable energy company and developer of solar foundations technology, from November 2019, most recently serving as president from October 2021 to October 2023. </w:t>
      </w:r>
    </w:p>
    <w:p>
      <w:pPr>
        <w:pStyle w:val="TextBody"/>
        <w:bidi w:val="0"/>
        <w:spacing w:before="240" w:after="0"/>
        <w:jc w:val="left"/>
        <w:rPr>
          <w:rFonts w:ascii="Times New Roman" w:hAnsi="Times New Roman"/>
          <w:sz w:val="20"/>
        </w:rPr>
      </w:pPr>
      <w:r>
        <w:rPr>
          <w:rFonts w:ascii="Times New Roman" w:hAnsi="Times New Roman"/>
          <w:b/>
          <w:sz w:val="20"/>
        </w:rPr>
        <w:t>Ron Stark</w:t>
      </w:r>
      <w:r>
        <w:rPr>
          <w:rFonts w:ascii="Times New Roman" w:hAnsi="Times New Roman"/>
          <w:sz w:val="20"/>
        </w:rPr>
        <w:t xml:space="preserve"> has served as our Senior Vice President, Controller and Principal Accounting Officer since May 2025. Prior to May 2025, Mr. Stark served as chief accounting officer at Arcadium Lithium (formerly Livent Corporation), a global lithium chemicals producer, from August 2018 to May 2025.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b/>
          <w:sz w:val="20"/>
        </w:rPr>
        <w:t>Kevin S. Penn</w:t>
      </w:r>
      <w:r>
        <w:rPr>
          <w:rFonts w:ascii="Times New Roman" w:hAnsi="Times New Roman"/>
          <w:sz w:val="20"/>
        </w:rPr>
        <w:t xml:space="preserve"> has served as a director since 2025 and, prior to the consummation of the IPO and the Transactions, served as a director of SOLV Energy Parent Holdings LP from May 2021. Mr. Penn currently serves as a senior partner at American Securities LLC, having joined in 2009. Since June 2016, Mr. Penn has served as a member of the board of directors of Blue Bird Corp., a publicly traded manufacturer of school buses. We believe Mr. Penn’s knowledge of the Company and his extensive management, investment and leadership expertise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Michael Sand</w:t>
      </w:r>
      <w:r>
        <w:rPr>
          <w:rFonts w:ascii="Times New Roman" w:hAnsi="Times New Roman"/>
          <w:sz w:val="20"/>
        </w:rPr>
        <w:t xml:space="preserve"> has served as a director since 2025 and, prior to the consummation of the IPO and the Transactions, served as a director of SOLV Energy Parent Holdings LP from May 2021. Mr. Sand currently serves as a partner at American Securities LLC, having originally joined in 2005. We believe Mr. Sand’s knowledge of the Company and his extensive management, investment and leadership expertise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David Portnoy</w:t>
      </w:r>
      <w:r>
        <w:rPr>
          <w:rFonts w:ascii="Times New Roman" w:hAnsi="Times New Roman"/>
          <w:sz w:val="20"/>
        </w:rPr>
        <w:t xml:space="preserve"> has served as a director since 2026 and, prior to the consummation of the IPO and the Transactions, served as a director of SOLV Energy Parent Holdings LP from May 2021. Mr. Portnoy has served as a partner at American Securities LLC since 2026, having originally joined in 2013. We believe Mr. Portnoy’s knowledge of the Company and his extensive management, investment and leadership expertise make him well qualified to serve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J. Adam Abram</w:t>
      </w:r>
      <w:r>
        <w:rPr>
          <w:rFonts w:ascii="Times New Roman" w:hAnsi="Times New Roman"/>
          <w:sz w:val="20"/>
        </w:rPr>
        <w:t xml:space="preserve"> has served as a director since 2026 and, prior to the consummation of the IPO and the Transactions, served as a director of SOLV Energy Parent Holdings LP from March 2022. In 2002, Mr. Abram founded James River Group, Inc., a principal subsidiary of James River Group Holdings, Ltd., a publicly traded insurance holding company, and served as the executive chair president and chief executive officer from 2002 to 2007 and from 2008 until 2012. Mr. Abram held various roles at James River Group Holdings, Ltd., serving as chief executive officer and executive chairman of the board from 2014 to 2017 and 2019 to 2020. He also served as non-executive chairman from 2012 to 2014, 2018 to 2019 and 2020 to 2023. Mr. Abram previously served as lead independent director of the Yadkin Financial Corporation (“Yadkin”), a publicly traded bank holding company, from July 2014 until its acquisition by F.N.B. Corporation in March 2017 and, prior to that, as the chairman of the board of VantageSouth Bancshares, Inc., a bank holding company, and its subsidiary bank, VantageSouth Bank, from November 2011 until its acquisition by Yadkin in July 2014. He also served as chairman of Piedmont Community Bank Holdings, Inc., a bank holding company, from the time he co-founded it in 2009 until it was also acquired by Yadkin in July 2014. We believe Mr. Abram’s knowledge of the Company and his extensive management, leadership and public company board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Steven Lerner</w:t>
      </w:r>
      <w:r>
        <w:rPr>
          <w:rFonts w:ascii="Times New Roman" w:hAnsi="Times New Roman"/>
          <w:sz w:val="20"/>
        </w:rPr>
        <w:t xml:space="preserve"> has served as a director since 2026 and, prior to the consummation of the IPO and the Transactions, served as a director of SOLV Energy Parent Holdings LP from March 2022. Since 1999, Mr. Lerner has served as the founder and managing partner of Blue Hill Group, a financial company that invests in entrepreneurial companies. Mr. Lerner previously served as a member of the board of directors of Presidio, Inc., a publicly traded information technology solutions provider, from March 2017 until its acquisition by BC Partners in December 2019, and prior to that, as a member of the board of directors of Yadkin from July 2014 until its acquisition by F.N.B. Corporation in March 2017. We believe Mr. Lerner’s knowledge of the Company and his extensive management, leadership and public company board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Laura Stern</w:t>
      </w:r>
      <w:r>
        <w:rPr>
          <w:rFonts w:ascii="Times New Roman" w:hAnsi="Times New Roman"/>
          <w:sz w:val="20"/>
        </w:rPr>
        <w:t xml:space="preserve"> has served as a director since 2026 and, prior to the consummation of the IPO and the Transactions, served as a director of SOLV Energy Parent Holdings LP from November 2022. Ms. Stern has served as the head of U.S. tax credits for Marex Group plc, a publicly traded financial services platform provider, where she has led the transferable renewable energy tax credit business since October 2024. Prior to October 2024, Ms. Stern co-founded and served as the co-CEO of Nautilus Solar Energy, LLC, a U.S. based solar developer and project owner acquired by Power Corp., from December 2006 to September 2024. Ms. Stern is also a National Association of Corporate Directors Certified Director. We believe Ms. Stern’s knowledge of the Company and her extensive management and leadership experience in the solar and renewable energy industry make her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William Jackson</w:t>
      </w:r>
      <w:r>
        <w:rPr>
          <w:rFonts w:ascii="Times New Roman" w:hAnsi="Times New Roman"/>
          <w:sz w:val="20"/>
        </w:rPr>
        <w:t xml:space="preserve"> has served as a director since 2026 and, prior to the consummation of the IPO and the Transactions, served as a director of SOLV Energy Parent Holdings LP from April 2024. Since 2010, Mr. Jackson has served as president of Chicago Associates, an investment company. He previously served as president of Johnson Controls International plc, a publicly traded multinational manufacturing company, from 2011 to 2019. We believe Mr. Jackson’s knowledge of the Company and his extensive management and leadership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Daniel P. McQuade</w:t>
      </w:r>
      <w:r>
        <w:rPr>
          <w:rFonts w:ascii="Times New Roman" w:hAnsi="Times New Roman"/>
          <w:sz w:val="20"/>
        </w:rPr>
        <w:t xml:space="preserve"> has served as a director since 2026 and, prior to the consummation of the IPO and the Transactions, served as a director of SOLV Energy Parent Holdings LP from October 2024. Since 2019, Mr. McQuade has served as managing director of Global Infrastructure Solutions Inc., a construction and design firm. We believe Mr. McQuade’s knowledge of the Company and his extensive management and leadership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Nancy Stefanowicz</w:t>
      </w:r>
      <w:r>
        <w:rPr>
          <w:rFonts w:ascii="Times New Roman" w:hAnsi="Times New Roman"/>
          <w:sz w:val="20"/>
        </w:rPr>
        <w:t xml:space="preserve"> has served as a director since 2026 and, prior to the consummation of the IPO and the Transactions, served as a director of SOLV Energy Parent Holdings LP from October 2024. Since 2021, Ms. Stefanowicz has served as executive vice president and chief human resources officer at NFI Industries, Inc., a supply chain management company, having joined as senior vice president of human resources in 2006. We believe Ms. Stefanowicz’s knowledge of the Company and her extensive management and leadership experience make her well qualified to serve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Controlled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American Securities controls more than 50% of the combined voting power of our common stock, including in the election of directors. As a result, we qualify as a “controlled company” within the meaning of the corporate governance standards of Nasdaq rules. While we do not currently utilize exemptions available to controlled companies, we reserve the right to, and in the future, may elect not to comply with certain Nasdaq corporate governance standards, including that: (i) a majority of our board of directors consists of “independent directors,” as defined under Nasdaq rules; (ii) we have a nominating and corporate governance committee that is composed entirely of independent directors; and (iii) we have a compensation committee that is composed entirely of independent directors. Therefore, in the future, if we choose to utilize controlled company exemptions, we may not have a majority of independent directors on our board of directors, an entirely independent nominating and corporate governance committee, or an entirely independent compensation committee unless and until such time as we are required to do so. Accordingly, our stockholders may not have the same protections afforded to stockholders of companies that are subject to all of these corporate governance requirements. In the event that we cease to be a “controlled company” and our shares continue to be listed on Nasdaq, we will be required, to the extent necessary, to comply with these provisions within the applicable transition periods. See “Item 1A. Risk Factors—Risks Related to the Ownership of Our Class A Common Stock—We qualify as a “controlled company,” as defined in Nasdaq listing rules, and, as a result, we qualify for, and may rely on, exemptions from certain corporate governance requirements. Our stockholders may not have the same protections afforded to stockholders of companies that are subject to such requirements. In addition, our Sponsor’s interests may conflict with our interests and the interests of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of directors. Our amended and restated certificate of incorporation provides that, subject to the rights of the holders of preferred stock, the number of directors on our board of directors shall be fixed exclusively by resolution adopted by our board of directors. Our amended and restated certificate of incorporation and our amended and restated bylaws provides that our board of directors is divided into three classes, as nearly equal in number as possible, with the directors in each class serving for a three-year term, and one class being elected each year by our stockholders. Our directors are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David Portnoy, Steven Lerner and Laura Stern, and their terms will expire at the annual meeting of stockholders to be held in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Michael Sand, J. Adam Abram and Daniel McQuade, and their terms will expire at the annual meeting of stockholders to be held in 2028;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George Hershman, Kevin S. Penn, William Jackson and Nancy Stefanowicz, and their terms will expire at the annual meeting of stockholders to be held in 2029.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affirmatively determined that Kevin S. Penn, Michael Sand, David Portnoy, J. Adam Abram, Steven Lerner, Laura Stern, William Jackson, Daniel McQuade and Nancy Stefanowicz are each an “independent director,” as defined under Nasdaq rules. In making these determinations, our board of directors considered the current 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“Item 13. Certain Relationships and Related Transactions, and Director Independence.”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directs the management of our business and affairs, as provided by Delaware law, and conducts its business through actions of the board of directors and standing committees. Our board of directors has established three standing committees—audit, compensation and nominating and corporate governance—each of which operates under a charter that is approved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audit committee under the committee’s charter is to assist the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audits and integrity of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qualifications, engagement, compensation, independence and performance of our independent registered public accounting firm;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process relating to risk management and the conduct and systems of internal control over financial reporting and disclosure controls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audit committee are William Jackson, Daniel McQuade and Laura Stern. William Jackson serves as the chairperson of the committee. All members of our audit committee meet the requirements for financial literacy under the applicable rules. Our board of directors has determined that each of Daniel McQuade, Laura Stern and William Jackson meet the independence requirements of Rule 10A-3 under the Exchange Act and the applicable Nasdaq rules. Our board of directors has determined that each of William Jackson, Daniel McQuade and Laura Stern is an “audit committee financial expert” as defined by applicable SEC rules and has the requisite financial sophistication as defined under the applicable Nasdaq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compensation committee under the committee’s charter is to assist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recommending to the board of directors for approval the compensation of our chief executive officer, other executive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recommending to the board of directors for approval and administering incentive compensation and equity compensation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our employees, including our overall compensation philosophy.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compensation committee are Michael Sand, Nancy Stefanowicz, Steven Lerner and William Jackson. Michael Sand serves as the chairperson of the committee. Our board of directors has determined that each of Michael Sand, Nancy Stefanowicz, Steven Lerner and William Jackson are independent under the applicable Nasdaq rules, including rules specific to membership on the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nominating and corporate governance committee under the committee’s charter is to assist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screening individuals qualified to serve as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recommending to our board of directors and reviewing the Company’s corporate governance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coordinating and overseeing the annual self-evaluation of our board of directors and its committees;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regular basis the overall corporate governance of the Company and recommending improvements to our board of directors where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nominating and corporate governance committee are J. Adam Abram, David Portnoy, Steven Lerner and Kevin S. Penn. J. Adam Abram serves as the chairperson of the committee. Our board of directors has determined that each of J. Adam Abram, David Portnoy, Steven Lerner and Kevin S. Penn are independent under the applicable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Risk Oversight </w:t>
      </w:r>
    </w:p>
    <w:p>
      <w:pPr>
        <w:pStyle w:val="TextBody"/>
        <w:bidi w:val="0"/>
        <w:spacing w:before="120" w:after="0"/>
        <w:jc w:val="left"/>
        <w:rPr>
          <w:rFonts w:ascii="Times New Roman" w:hAnsi="Times New Roman"/>
          <w:sz w:val="20"/>
        </w:rPr>
      </w:pPr>
      <w:r>
        <w:rPr>
          <w:rFonts w:ascii="Times New Roman" w:hAnsi="Times New Roman"/>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our compensation committee is or has been an officer or employee of the Company. None of our executive officers currently serves, or has served during the last year, as a member of the board of directors or compensation committee of any entity that has one or more executive officers serving as the expected member(s) of our board of directors or compensation committee. See “Item 13. Certain Relationships and Related Transactions, and Director Independence” for information about related person transactions involving members of our compensation committee or their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we will indemnify our executive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indemnification agreements with each of our executive officers and directors prior to the completion of the IPO. The indemnification agreements provide the executive officers and directors with contractual rights to indemnification, expense advancement and reimbursement, to the fullest extent permitted under the DGCL, subject to certain exceptions contained in those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conduct and ethics that applies to all of our directors, employees and officers. A copy of the code is available on our website located at www.solvenergy.com. Any amendments or waivers to our code for our directors or for our principal executive officer, principal financial officer, principal accounting officer or controller, or persons performing similar functions, may only be granted in writing by the Audit Committee and will be disclosed on our website promptly following the date of such amendment or waiver, as and if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corporate governance guidelines in accordance with the corporate governance rules of Nasdaq. These guidelines cover a number of areas including director responsibilities, director elections and re-elections, composition of the board of directors, including director qualifications and board committees, executive sessions, director access to management and, as necessary and appropriate, independent advisors, director orientation and continuing education, board materials, majority-voting board resignation policy, management succession and evaluations of the board of directors and the board’s committees. A copy of our corporate governance guidelines is available on our website at www.solvenergy.com.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insider trading policies and procedures that govern the purchase, sale and other disposition of our securities by our directors, officers and employees, and the Company itself, that we believe are reasonably designed to promote compliance with insider trading laws, rules and regulations and the listing standards of Nasdaq. A copy of our Insider Trading Policy is filed with this Annual Report as Exhibit 19.1.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bookmarkStart w:id="34" w:name="toc31834_18"/>
            <w:bookmarkEnd w:id="34"/>
            <w:r>
              <w:rPr>
                <w:b/>
              </w:rPr>
              <w:t>ITEM 11.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EXECUTIVE COMPENSATION.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this Compensation Discussion and Analysis section is to provide a description of our compensation programs for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focuses on our Chief Executive Officer, our current and former Chief Financial Officers, and our three most highly compensated executive officers (collectively, the “NEOs”) during 2025, who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George Hershman,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Chad Plotkin, our Chief Financial Officer (appointed on January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Benjamin Catalano, our former Chief Financial Officer (served until January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Kevin Deters, our Chief Operating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Grubb, Jr., our Chief Commercial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Erik Johnson, our Chief Strategy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approach is tied to our stage of development. As our executive compensation program evolves, we expect that the total amount earned by our executives will depend on achieving performance objectives designed to enhance stockholder value. We intend to continue to evaluate and possibly make changes to our executive compensation programs with the goal of aligning our programs with our executive compensation philosophy as a public company. Accordingly, the compensation paid to our NEOs for 2025, and the form and manner in which it was paid, is not necessarily indicative of how we will compensate our NEOs in the future. Prior to the IPO, we were a privately-held company and were not subject to any stock exchange listing or SEC rules related to the board of directors and compensation committee structure and function.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setting and overseeing the compensation of our executive officers, our compensation programs are currently designed to achieve the following specific objectives: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Position our target total direct compensation – comprised of base salary and target annual incentive bonus opportunity – at a level at which we can successfully attract, retain and motivate executives with the talent and capabilities critical to executing our business strategy and creating long-term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Reinforce our pay-for-performance philosophy with compensation based on annual and multi-year financial and operational objectives;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 the interests of executives with those of equity holders, particularly with respect to key executive officers who are best positioned to drive long-term value creation.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continually evaluated for effectiveness in achieving these objectives as well as to reflect the economic environment within which we operate.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 of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Role of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Prior to the IPO, our compensation programs for our executive officers were historically overseen by the compensation committee of our private company board of managers, which made decisions regarding the compensation for our NEOs, after taking into account recommendations from management, as further described below. Following the IPO, the compensation committee of our board of directors is responsible for overseeing our executive compensation programs as well as making recommendations to the board of directors regarding compensation decisions for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decisions of our compensation committee with respect to our executive officers’ salaries and incentives are influenced by the executive’s level of responsibility and function, our overall performance and profitability and the assessment of the competitive marketplace (as determined based on our compensation committee members’ business experience). Our compensation committee also takes into account each executive officer’s tenure and individual performance, our overall annual budget and changes in the cost of living.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Role of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Chief Executive Officer provides input regarding the duties and responsibilities of his direct reports and the results of his evaluations of their annual performance. Management also recommends to the compensation committee certain aspects of executive compensation program design, including appropriate financial and non-financial performance goals for use in our incentive plans and additional business and function specific performance goals for executives.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we engaged F.W. Cook as a compensation consultant to provide executive compensation consulting services to help align executive pay with market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Primary Components of our Executive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In 2025, our executive compensation consisted of several compensation elements, as described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7"/>
        <w:gridCol w:w="121"/>
        <w:gridCol w:w="3820"/>
        <w:gridCol w:w="121"/>
        <w:gridCol w:w="3736"/>
      </w:tblGrid>
      <w:tr>
        <w:trPr/>
        <w:tc>
          <w:tcPr>
            <w:tcW w:w="240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4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Component</w:t>
            </w:r>
          </w:p>
        </w:tc>
        <w:tc>
          <w:tcPr>
            <w:tcW w:w="121" w:type="dxa"/>
            <w:tcBorders/>
            <w:vAlign w:val="bottom"/>
          </w:tcPr>
          <w:p>
            <w:pPr>
              <w:pStyle w:val="TableContents"/>
              <w:bidi w:val="0"/>
              <w:spacing w:before="0" w:after="283"/>
              <w:jc w:val="left"/>
              <w:rPr/>
            </w:pPr>
            <w:r>
              <w:rPr/>
              <w:t>  </w:t>
            </w:r>
          </w:p>
        </w:tc>
        <w:tc>
          <w:tcPr>
            <w:tcW w:w="3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What the Component Rewards</w:t>
            </w:r>
          </w:p>
        </w:tc>
        <w:tc>
          <w:tcPr>
            <w:tcW w:w="121" w:type="dxa"/>
            <w:tcBorders/>
            <w:vAlign w:val="bottom"/>
          </w:tcPr>
          <w:p>
            <w:pPr>
              <w:pStyle w:val="TableContents"/>
              <w:bidi w:val="0"/>
              <w:spacing w:before="0" w:after="283"/>
              <w:jc w:val="left"/>
              <w:rPr/>
            </w:pPr>
            <w:r>
              <w:rPr/>
              <w:t>  </w:t>
            </w:r>
          </w:p>
        </w:tc>
        <w:tc>
          <w:tcPr>
            <w:tcW w:w="37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 of the Component</w:t>
            </w:r>
          </w:p>
        </w:tc>
      </w:tr>
      <w:tr>
        <w:trPr>
          <w:trHeight w:val="120" w:hRule="atLeast"/>
        </w:trPr>
        <w:tc>
          <w:tcPr>
            <w:tcW w:w="2407"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c>
          <w:tcPr>
            <w:tcW w:w="3857" w:type="dxa"/>
            <w:gridSpan w:val="2"/>
            <w:tcBorders/>
            <w:vAlign w:val="center"/>
          </w:tcPr>
          <w:p>
            <w:pPr>
              <w:pStyle w:val="TableContents"/>
              <w:bidi w:val="0"/>
              <w:spacing w:before="0" w:after="283"/>
              <w:jc w:val="left"/>
              <w:rPr>
                <w:sz w:val="4"/>
                <w:szCs w:val="4"/>
              </w:rPr>
            </w:pPr>
            <w:r>
              <w:rPr>
                <w:sz w:val="4"/>
                <w:szCs w:val="4"/>
              </w:rPr>
            </w:r>
          </w:p>
        </w:tc>
      </w:tr>
      <w:tr>
        <w:trPr/>
        <w:tc>
          <w:tcPr>
            <w:tcW w:w="2407" w:type="dxa"/>
            <w:tcBorders/>
          </w:tcPr>
          <w:p>
            <w:pPr>
              <w:pStyle w:val="TableContents"/>
              <w:bidi w:val="0"/>
              <w:spacing w:before="0" w:after="283"/>
              <w:jc w:val="left"/>
              <w:rPr/>
            </w:pPr>
            <w:r>
              <w:rPr/>
              <w:t>Base Salary</w:t>
            </w:r>
          </w:p>
        </w:tc>
        <w:tc>
          <w:tcPr>
            <w:tcW w:w="121"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Core competence of the executive relative to skills, experience and contributions to us.</w:t>
            </w:r>
          </w:p>
        </w:tc>
        <w:tc>
          <w:tcPr>
            <w:tcW w:w="121"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pPr>
            <w:r>
              <w:rPr/>
              <w:t>Provides fixed compensation based on competitive market practice.</w:t>
            </w:r>
          </w:p>
        </w:tc>
      </w:tr>
      <w:tr>
        <w:trPr>
          <w:trHeight w:val="120" w:hRule="atLeast"/>
        </w:trPr>
        <w:tc>
          <w:tcPr>
            <w:tcW w:w="2407"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c>
          <w:tcPr>
            <w:tcW w:w="3857" w:type="dxa"/>
            <w:gridSpan w:val="2"/>
            <w:tcBorders/>
            <w:vAlign w:val="center"/>
          </w:tcPr>
          <w:p>
            <w:pPr>
              <w:pStyle w:val="TableContents"/>
              <w:bidi w:val="0"/>
              <w:spacing w:before="0" w:after="283"/>
              <w:jc w:val="left"/>
              <w:rPr>
                <w:sz w:val="4"/>
                <w:szCs w:val="4"/>
              </w:rPr>
            </w:pPr>
            <w:r>
              <w:rPr>
                <w:sz w:val="4"/>
                <w:szCs w:val="4"/>
              </w:rPr>
            </w:r>
          </w:p>
        </w:tc>
      </w:tr>
      <w:tr>
        <w:trPr/>
        <w:tc>
          <w:tcPr>
            <w:tcW w:w="2407" w:type="dxa"/>
            <w:tcBorders/>
          </w:tcPr>
          <w:p>
            <w:pPr>
              <w:pStyle w:val="TableContents"/>
              <w:bidi w:val="0"/>
              <w:spacing w:before="0" w:after="283"/>
              <w:jc w:val="left"/>
              <w:rPr/>
            </w:pPr>
            <w:r>
              <w:rPr/>
              <w:t>Annual Cash Incentive</w:t>
            </w:r>
          </w:p>
        </w:tc>
        <w:tc>
          <w:tcPr>
            <w:tcW w:w="121"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Contributions toward our achievement of specified financial targets and other key performance criteria.</w:t>
            </w:r>
          </w:p>
        </w:tc>
        <w:tc>
          <w:tcPr>
            <w:tcW w:w="121"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pPr>
            <w:r>
              <w:rPr/>
              <w:t>Provides focus on meeting annual goals that lead to our short- and long-term success.</w:t>
            </w:r>
          </w:p>
        </w:tc>
      </w:tr>
      <w:tr>
        <w:trPr>
          <w:trHeight w:val="120" w:hRule="atLeast"/>
        </w:trPr>
        <w:tc>
          <w:tcPr>
            <w:tcW w:w="2407"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c>
          <w:tcPr>
            <w:tcW w:w="3857" w:type="dxa"/>
            <w:gridSpan w:val="2"/>
            <w:tcBorders/>
            <w:vAlign w:val="center"/>
          </w:tcPr>
          <w:p>
            <w:pPr>
              <w:pStyle w:val="TableContents"/>
              <w:bidi w:val="0"/>
              <w:spacing w:before="0" w:after="283"/>
              <w:jc w:val="left"/>
              <w:rPr>
                <w:sz w:val="4"/>
                <w:szCs w:val="4"/>
              </w:rPr>
            </w:pPr>
            <w:r>
              <w:rPr>
                <w:sz w:val="4"/>
                <w:szCs w:val="4"/>
              </w:rPr>
            </w:r>
          </w:p>
        </w:tc>
      </w:tr>
      <w:tr>
        <w:trPr/>
        <w:tc>
          <w:tcPr>
            <w:tcW w:w="2407" w:type="dxa"/>
            <w:tcBorders/>
          </w:tcPr>
          <w:p>
            <w:pPr>
              <w:pStyle w:val="TableContents"/>
              <w:bidi w:val="0"/>
              <w:spacing w:before="0" w:after="283"/>
              <w:jc w:val="left"/>
              <w:rPr/>
            </w:pPr>
            <w:r>
              <w:rPr/>
              <w:t>Equity Awards</w:t>
            </w:r>
          </w:p>
        </w:tc>
        <w:tc>
          <w:tcPr>
            <w:tcW w:w="121"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Appreciation in the value of our equity based on time and performance vested awards.</w:t>
            </w:r>
          </w:p>
        </w:tc>
        <w:tc>
          <w:tcPr>
            <w:tcW w:w="121"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pPr>
            <w:r>
              <w:rPr/>
              <w:t>Provides retention benefits and rewards executives through achievement of performance goals.</w:t>
            </w:r>
          </w:p>
        </w:tc>
      </w:tr>
      <w:tr>
        <w:trPr>
          <w:trHeight w:val="120" w:hRule="atLeast"/>
        </w:trPr>
        <w:tc>
          <w:tcPr>
            <w:tcW w:w="2407"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c>
          <w:tcPr>
            <w:tcW w:w="3857" w:type="dxa"/>
            <w:gridSpan w:val="2"/>
            <w:tcBorders/>
            <w:vAlign w:val="center"/>
          </w:tcPr>
          <w:p>
            <w:pPr>
              <w:pStyle w:val="TableContents"/>
              <w:bidi w:val="0"/>
              <w:spacing w:before="0" w:after="283"/>
              <w:jc w:val="left"/>
              <w:rPr>
                <w:sz w:val="4"/>
                <w:szCs w:val="4"/>
              </w:rPr>
            </w:pPr>
            <w:r>
              <w:rPr>
                <w:sz w:val="4"/>
                <w:szCs w:val="4"/>
              </w:rPr>
            </w:r>
          </w:p>
        </w:tc>
      </w:tr>
      <w:tr>
        <w:trPr/>
        <w:tc>
          <w:tcPr>
            <w:tcW w:w="2407" w:type="dxa"/>
            <w:tcBorders/>
          </w:tcPr>
          <w:p>
            <w:pPr>
              <w:pStyle w:val="TableContents"/>
              <w:bidi w:val="0"/>
              <w:spacing w:before="0" w:after="283"/>
              <w:jc w:val="left"/>
              <w:rPr/>
            </w:pPr>
            <w:r>
              <w:rPr/>
              <w:t>Retirement Benefits</w:t>
            </w:r>
          </w:p>
        </w:tc>
        <w:tc>
          <w:tcPr>
            <w:tcW w:w="121"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Participation in our 401(k) and profit sharing plans incentivizes employee retirement savings and continued service.</w:t>
            </w:r>
          </w:p>
        </w:tc>
        <w:tc>
          <w:tcPr>
            <w:tcW w:w="121"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pPr>
            <w:r>
              <w:rPr/>
              <w:t>Provides attractive tax-deferred retirement savings vehicles for eligible executives and promotes retention of our executives over a longer-term time horizon.</w:t>
            </w:r>
          </w:p>
        </w:tc>
      </w:tr>
      <w:tr>
        <w:trPr>
          <w:trHeight w:val="120" w:hRule="atLeast"/>
        </w:trPr>
        <w:tc>
          <w:tcPr>
            <w:tcW w:w="2407"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c>
          <w:tcPr>
            <w:tcW w:w="3857" w:type="dxa"/>
            <w:gridSpan w:val="2"/>
            <w:tcBorders/>
            <w:vAlign w:val="center"/>
          </w:tcPr>
          <w:p>
            <w:pPr>
              <w:pStyle w:val="TableContents"/>
              <w:bidi w:val="0"/>
              <w:spacing w:before="0" w:after="283"/>
              <w:jc w:val="left"/>
              <w:rPr>
                <w:sz w:val="4"/>
                <w:szCs w:val="4"/>
              </w:rPr>
            </w:pPr>
            <w:r>
              <w:rPr>
                <w:sz w:val="4"/>
                <w:szCs w:val="4"/>
              </w:rPr>
            </w:r>
          </w:p>
        </w:tc>
      </w:tr>
      <w:tr>
        <w:trPr/>
        <w:tc>
          <w:tcPr>
            <w:tcW w:w="2407" w:type="dxa"/>
            <w:tcBorders/>
          </w:tcPr>
          <w:p>
            <w:pPr>
              <w:pStyle w:val="TableContents"/>
              <w:bidi w:val="0"/>
              <w:spacing w:before="0" w:after="283"/>
              <w:jc w:val="left"/>
              <w:rPr/>
            </w:pPr>
            <w:r>
              <w:rPr/>
              <w:t>Welfare Benefits</w:t>
            </w:r>
          </w:p>
        </w:tc>
        <w:tc>
          <w:tcPr>
            <w:tcW w:w="121"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Executives participate in employee benefit plans generally available to our employees, including medical, health, life insurance and disability plans.</w:t>
            </w:r>
          </w:p>
        </w:tc>
        <w:tc>
          <w:tcPr>
            <w:tcW w:w="121"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pPr>
            <w:r>
              <w:rPr/>
              <w:t>These benefits are part of our broad-based total compensation program.</w:t>
            </w:r>
          </w:p>
        </w:tc>
      </w:tr>
      <w:tr>
        <w:trPr>
          <w:trHeight w:val="120" w:hRule="atLeast"/>
        </w:trPr>
        <w:tc>
          <w:tcPr>
            <w:tcW w:w="2407"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c>
          <w:tcPr>
            <w:tcW w:w="3857" w:type="dxa"/>
            <w:gridSpan w:val="2"/>
            <w:tcBorders/>
            <w:vAlign w:val="center"/>
          </w:tcPr>
          <w:p>
            <w:pPr>
              <w:pStyle w:val="TableContents"/>
              <w:bidi w:val="0"/>
              <w:spacing w:before="0" w:after="283"/>
              <w:jc w:val="left"/>
              <w:rPr>
                <w:sz w:val="4"/>
                <w:szCs w:val="4"/>
              </w:rPr>
            </w:pPr>
            <w:r>
              <w:rPr>
                <w:sz w:val="4"/>
                <w:szCs w:val="4"/>
              </w:rPr>
            </w:r>
          </w:p>
        </w:tc>
      </w:tr>
      <w:tr>
        <w:trPr/>
        <w:tc>
          <w:tcPr>
            <w:tcW w:w="2407" w:type="dxa"/>
            <w:tcBorders/>
          </w:tcPr>
          <w:p>
            <w:pPr>
              <w:pStyle w:val="TableContents"/>
              <w:bidi w:val="0"/>
              <w:spacing w:before="0" w:after="283"/>
              <w:jc w:val="left"/>
              <w:rPr/>
            </w:pPr>
            <w:r>
              <w:rPr/>
              <w:t>Additional Benefits and Perquisites</w:t>
            </w:r>
          </w:p>
        </w:tc>
        <w:tc>
          <w:tcPr>
            <w:tcW w:w="121"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NEOs were provided with a vehicle allowance and unlimited vacation balance.</w:t>
            </w:r>
          </w:p>
        </w:tc>
        <w:tc>
          <w:tcPr>
            <w:tcW w:w="121"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pPr>
            <w:r>
              <w:rPr/>
              <w:t>Consistent with offering our executives a competitive compensation program.</w:t>
            </w:r>
          </w:p>
        </w:tc>
      </w:tr>
      <w:tr>
        <w:trPr>
          <w:trHeight w:val="120" w:hRule="atLeast"/>
        </w:trPr>
        <w:tc>
          <w:tcPr>
            <w:tcW w:w="2407" w:type="dxa"/>
            <w:tcBorders/>
            <w:vAlign w:val="center"/>
          </w:tcPr>
          <w:p>
            <w:pPr>
              <w:pStyle w:val="TableContents"/>
              <w:bidi w:val="0"/>
              <w:spacing w:before="0" w:after="283"/>
              <w:jc w:val="left"/>
              <w:rPr>
                <w:sz w:val="4"/>
                <w:szCs w:val="4"/>
              </w:rPr>
            </w:pPr>
            <w:r>
              <w:rPr>
                <w:sz w:val="4"/>
                <w:szCs w:val="4"/>
              </w:rPr>
            </w:r>
          </w:p>
        </w:tc>
        <w:tc>
          <w:tcPr>
            <w:tcW w:w="3941" w:type="dxa"/>
            <w:gridSpan w:val="2"/>
            <w:tcBorders/>
            <w:vAlign w:val="center"/>
          </w:tcPr>
          <w:p>
            <w:pPr>
              <w:pStyle w:val="TableContents"/>
              <w:bidi w:val="0"/>
              <w:spacing w:before="0" w:after="283"/>
              <w:jc w:val="left"/>
              <w:rPr>
                <w:sz w:val="4"/>
                <w:szCs w:val="4"/>
              </w:rPr>
            </w:pPr>
            <w:r>
              <w:rPr>
                <w:sz w:val="4"/>
                <w:szCs w:val="4"/>
              </w:rPr>
            </w:r>
          </w:p>
        </w:tc>
        <w:tc>
          <w:tcPr>
            <w:tcW w:w="3857" w:type="dxa"/>
            <w:gridSpan w:val="2"/>
            <w:tcBorders/>
            <w:vAlign w:val="center"/>
          </w:tcPr>
          <w:p>
            <w:pPr>
              <w:pStyle w:val="TableContents"/>
              <w:bidi w:val="0"/>
              <w:spacing w:before="0" w:after="283"/>
              <w:jc w:val="left"/>
              <w:rPr>
                <w:sz w:val="4"/>
                <w:szCs w:val="4"/>
              </w:rPr>
            </w:pPr>
            <w:r>
              <w:rPr>
                <w:sz w:val="4"/>
                <w:szCs w:val="4"/>
              </w:rPr>
            </w:r>
          </w:p>
        </w:tc>
      </w:tr>
      <w:tr>
        <w:trPr/>
        <w:tc>
          <w:tcPr>
            <w:tcW w:w="2407" w:type="dxa"/>
            <w:tcBorders/>
          </w:tcPr>
          <w:p>
            <w:pPr>
              <w:pStyle w:val="TableContents"/>
              <w:bidi w:val="0"/>
              <w:spacing w:before="0" w:after="283"/>
              <w:jc w:val="left"/>
              <w:rPr/>
            </w:pPr>
            <w:r>
              <w:rPr/>
              <w:t>Termination Benefits</w:t>
            </w:r>
          </w:p>
        </w:tc>
        <w:tc>
          <w:tcPr>
            <w:tcW w:w="121" w:type="dxa"/>
            <w:tcBorders/>
            <w:vAlign w:val="bottom"/>
          </w:tcPr>
          <w:p>
            <w:pPr>
              <w:pStyle w:val="TableContents"/>
              <w:bidi w:val="0"/>
              <w:spacing w:before="0" w:after="283"/>
              <w:jc w:val="left"/>
              <w:rPr/>
            </w:pPr>
            <w:r>
              <w:rPr/>
              <w:t>  </w:t>
            </w:r>
          </w:p>
        </w:tc>
        <w:tc>
          <w:tcPr>
            <w:tcW w:w="3820" w:type="dxa"/>
            <w:tcBorders/>
          </w:tcPr>
          <w:p>
            <w:pPr>
              <w:pStyle w:val="TableContents"/>
              <w:bidi w:val="0"/>
              <w:spacing w:before="0" w:after="283"/>
              <w:jc w:val="left"/>
              <w:rPr/>
            </w:pPr>
            <w:r>
              <w:rPr/>
              <w:t>Certain NEOs are parties to employment agreements that provide them with certain severance benefits.</w:t>
            </w:r>
          </w:p>
        </w:tc>
        <w:tc>
          <w:tcPr>
            <w:tcW w:w="121" w:type="dxa"/>
            <w:tcBorders/>
            <w:vAlign w:val="bottom"/>
          </w:tcPr>
          <w:p>
            <w:pPr>
              <w:pStyle w:val="TableContents"/>
              <w:bidi w:val="0"/>
              <w:spacing w:before="0" w:after="283"/>
              <w:jc w:val="left"/>
              <w:rPr/>
            </w:pPr>
            <w:r>
              <w:rPr/>
              <w:t>  </w:t>
            </w:r>
          </w:p>
        </w:tc>
        <w:tc>
          <w:tcPr>
            <w:tcW w:w="3736" w:type="dxa"/>
            <w:tcBorders/>
          </w:tcPr>
          <w:p>
            <w:pPr>
              <w:pStyle w:val="TableContents"/>
              <w:bidi w:val="0"/>
              <w:spacing w:before="0" w:after="283"/>
              <w:jc w:val="left"/>
              <w:rPr/>
            </w:pPr>
            <w:r>
              <w:rPr/>
              <w:t>These arrangements reward executives for their continued service and subject them to restrictive covenants that protect our interests. Termination benefits are designed to retain executives and provide security for our NEOs so their focus remains on driving our performance.</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set policy for allocating pay between the various components of compensation and instead evaluate our executive officers’ compensation opportunities on a case-by-case basis after taking into account the factors described above. To achieve competitive positioning for the annual cash compensation component of our executive compensation program, our compensation committee sets base salaries at a level it believes to be competitive and also places emphasis on annual bonus opportunities because they are more directly linked to our performance. As such, our compensation is focused on fixed pay and performance-based opportunities, while still intending to remain competitive overall. Targeted annual cash bonus opportunities are based on our budgeted financial goals and other factors, which may fluctuate from year to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NEOs’ base salary level was established prior to 2025 and reflected the terms of their employment agreement or the determination of the compensation committee and was based on a combination of factors, including the executive’s experience and tenure, the executive’s individual performance, our budgeted performance, market factors and changes in responsibility. Our compensation committee does not target base salary at any particular percent of total compensation. Our compensation committee reviews salary levels annually based on these factors and takes into account salary recommendations made by our Chief Executive Officer and other senior members of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NEOs’ 2025 year-end base salaries were as follows: Mr. Hershman $609,960, Mr. Plotkin $500,000, Mr. Catalano $381,058, Mr. Deters $459,960, Mr. Johnson $369,960 and Mr. Grubb $363,502. In 2025, our compensation committee approved an increase in Mr. Hershman’s base salary for 2025 to $609,960 and an increase in Mr. Deters’ base salary effective July 1, 2025 to $459,960. None of our other NEOs received increases to their base salaries in 2025, other than as a result of the compensation committee electing to phase out auto allowance reimbursement for NEOs in July 2025 and increasing all NEOs’ base salaries by the same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Cash Incentive Plan (ACIP) </w:t>
      </w:r>
    </w:p>
    <w:p>
      <w:pPr>
        <w:pStyle w:val="TextBody"/>
        <w:bidi w:val="0"/>
        <w:spacing w:before="120" w:after="0"/>
        <w:jc w:val="left"/>
        <w:rPr>
          <w:rFonts w:ascii="Times New Roman" w:hAnsi="Times New Roman"/>
          <w:sz w:val="20"/>
        </w:rPr>
      </w:pPr>
      <w:r>
        <w:rPr>
          <w:rFonts w:ascii="Times New Roman" w:hAnsi="Times New Roman"/>
          <w:sz w:val="20"/>
        </w:rPr>
        <w:t xml:space="preserve">Generally, we make annual performance-based cash grants in accordance with the terms of the ACIP and do not grant discretionary cash bonuses to our NEOs. However, from time to time, we may determine to grant one-off cash bonuses in connection with new hires. For example, upon commencement of employment in 2025, Mr. Plotkin was awarded a sign-on cash bonus of $575,000.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after taking into account recommendations from our Chief Executive Officer and other senior members of management, considers a combination of the factors used to set the NEOs’ base salary in establishing the annual target bonus opportunities for our NEOs, which vary from year to year, and are governed by the terms of the ACIP. EBITDA, as adjusted, is the primary factor considered for target bonus opportunities for our NEOs. These target bonus opportunities are set annually when our board of managers sets our annual budget. EBITDA is a non-GAAP financial measure that for purposes of the ACIP refers to our EBITDA (earnings before interest, income taxes, depreciation and amortization) as adjusted in a manner that is generally consistent with adjustments that are permitted under our credit agreement. An executive’s target bonus opportunity is a percentage of the executive’s base salary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bonus incentive is earned if actual performance falls below 75% of the EBITDA goal for the purpose of the ACIP. The bonus incentive earned increases on a pro rata basis for actual performance between 75% and 100% of such EBITDA goal. Above 100% of such EBITDA goal, the bonus incentive earned increases on a pro rata basis to a maximum of 150% payout at 125% of such EBITDA goal.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annual incentive compensation targets and payouts for our NEOs for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64"/>
        <w:gridCol w:w="404"/>
        <w:gridCol w:w="1181"/>
        <w:gridCol w:w="298"/>
        <w:gridCol w:w="1060"/>
        <w:gridCol w:w="309"/>
        <w:gridCol w:w="855"/>
        <w:gridCol w:w="309"/>
        <w:gridCol w:w="708"/>
      </w:tblGrid>
      <w:tr>
        <w:trPr/>
        <w:tc>
          <w:tcPr>
            <w:tcW w:w="4264"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264"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3241" w:type="dxa"/>
            <w:gridSpan w:val="5"/>
            <w:tcBorders>
              <w:bottom w:val="single" w:sz="8" w:space="0" w:color="000000"/>
            </w:tcBorders>
            <w:tcMar>
              <w:bottom w:w="28" w:type="dxa"/>
            </w:tcMar>
            <w:vAlign w:val="bottom"/>
          </w:tcPr>
          <w:p>
            <w:pPr>
              <w:pStyle w:val="TableContents"/>
              <w:bidi w:val="0"/>
              <w:spacing w:before="0" w:after="283"/>
              <w:jc w:val="center"/>
              <w:rPr>
                <w:b/>
              </w:rPr>
            </w:pPr>
            <w:r>
              <w:rPr>
                <w:b/>
              </w:rPr>
              <w:t>Bonus Payout % of Salary</w:t>
            </w:r>
          </w:p>
        </w:tc>
      </w:tr>
      <w:tr>
        <w:trPr/>
        <w:tc>
          <w:tcPr>
            <w:tcW w:w="4264" w:type="dxa"/>
            <w:tcBorders/>
            <w:vAlign w:val="bottom"/>
          </w:tcPr>
          <w:p>
            <w:pPr>
              <w:pStyle w:val="TableContents"/>
              <w:bidi w:val="0"/>
              <w:spacing w:before="0" w:after="283"/>
              <w:jc w:val="left"/>
              <w:rPr>
                <w:b/>
              </w:rPr>
            </w:pPr>
            <w:r>
              <w:rPr>
                <w:b/>
              </w:rPr>
              <w:t>Name</w:t>
            </w:r>
          </w:p>
        </w:tc>
        <w:tc>
          <w:tcPr>
            <w:tcW w:w="404" w:type="dxa"/>
            <w:tcBorders/>
            <w:vAlign w:val="bottom"/>
          </w:tcPr>
          <w:p>
            <w:pPr>
              <w:pStyle w:val="TableContents"/>
              <w:bidi w:val="0"/>
              <w:spacing w:before="0" w:after="283"/>
              <w:jc w:val="left"/>
              <w:rPr/>
            </w:pPr>
            <w:r>
              <w:rPr/>
              <w:t>  </w:t>
            </w:r>
          </w:p>
        </w:tc>
        <w:tc>
          <w:tcPr>
            <w:tcW w:w="1181" w:type="dxa"/>
            <w:tcBorders>
              <w:bottom w:val="single" w:sz="8" w:space="0" w:color="000000"/>
            </w:tcBorders>
            <w:tcMar>
              <w:bottom w:w="28" w:type="dxa"/>
            </w:tcMar>
            <w:vAlign w:val="bottom"/>
          </w:tcPr>
          <w:p>
            <w:pPr>
              <w:pStyle w:val="TableContents"/>
              <w:bidi w:val="0"/>
              <w:spacing w:before="0" w:after="283"/>
              <w:jc w:val="center"/>
              <w:rPr>
                <w:b/>
              </w:rPr>
            </w:pPr>
            <w:r>
              <w:rPr>
                <w:b/>
              </w:rPr>
              <w:t>Incentive</w:t>
              <w:br/>
              <w:t>Target of</w:t>
              <w:br/>
              <w:t>Base</w:t>
              <w:br/>
              <w:t>Salary (%)</w:t>
            </w:r>
          </w:p>
        </w:tc>
        <w:tc>
          <w:tcPr>
            <w:tcW w:w="298" w:type="dxa"/>
            <w:tcBorders/>
            <w:vAlign w:val="bottom"/>
          </w:tcPr>
          <w:p>
            <w:pPr>
              <w:pStyle w:val="TableContents"/>
              <w:bidi w:val="0"/>
              <w:spacing w:before="0" w:after="283"/>
              <w:jc w:val="left"/>
              <w:rPr/>
            </w:pPr>
            <w:r>
              <w:rPr/>
              <w:t> </w:t>
            </w:r>
          </w:p>
        </w:tc>
        <w:tc>
          <w:tcPr>
            <w:tcW w:w="1060" w:type="dxa"/>
            <w:tcBorders>
              <w:bottom w:val="single" w:sz="8" w:space="0" w:color="000000"/>
            </w:tcBorders>
            <w:tcMar>
              <w:bottom w:w="28" w:type="dxa"/>
            </w:tcMar>
            <w:vAlign w:val="bottom"/>
          </w:tcPr>
          <w:p>
            <w:pPr>
              <w:pStyle w:val="TableContents"/>
              <w:bidi w:val="0"/>
              <w:spacing w:before="0" w:after="283"/>
              <w:jc w:val="center"/>
              <w:rPr>
                <w:b/>
              </w:rPr>
            </w:pPr>
            <w:r>
              <w:rPr>
                <w:b/>
              </w:rPr>
              <w:t>Min (%)</w:t>
            </w:r>
          </w:p>
        </w:tc>
        <w:tc>
          <w:tcPr>
            <w:tcW w:w="309" w:type="dxa"/>
            <w:tcBorders/>
            <w:vAlign w:val="bottom"/>
          </w:tcPr>
          <w:p>
            <w:pPr>
              <w:pStyle w:val="TableContents"/>
              <w:bidi w:val="0"/>
              <w:spacing w:before="0" w:after="283"/>
              <w:jc w:val="left"/>
              <w:rPr/>
            </w:pPr>
            <w:r>
              <w:rPr/>
              <w:t> </w:t>
            </w:r>
          </w:p>
        </w:tc>
        <w:tc>
          <w:tcPr>
            <w:tcW w:w="855" w:type="dxa"/>
            <w:tcBorders>
              <w:bottom w:val="single" w:sz="8" w:space="0" w:color="000000"/>
            </w:tcBorders>
            <w:tcMar>
              <w:bottom w:w="28" w:type="dxa"/>
            </w:tcMar>
            <w:vAlign w:val="bottom"/>
          </w:tcPr>
          <w:p>
            <w:pPr>
              <w:pStyle w:val="TableContents"/>
              <w:bidi w:val="0"/>
              <w:spacing w:before="0" w:after="283"/>
              <w:jc w:val="center"/>
              <w:rPr>
                <w:b/>
              </w:rPr>
            </w:pPr>
            <w:r>
              <w:rPr>
                <w:b/>
              </w:rPr>
              <w:t>Target</w:t>
              <w:br/>
              <w:t>(%)</w:t>
            </w:r>
          </w:p>
        </w:tc>
        <w:tc>
          <w:tcPr>
            <w:tcW w:w="309" w:type="dxa"/>
            <w:tcBorders/>
            <w:vAlign w:val="bottom"/>
          </w:tcPr>
          <w:p>
            <w:pPr>
              <w:pStyle w:val="TableContents"/>
              <w:bidi w:val="0"/>
              <w:spacing w:before="0" w:after="283"/>
              <w:jc w:val="left"/>
              <w:rPr/>
            </w:pPr>
            <w:r>
              <w:rPr/>
              <w:t> </w:t>
            </w:r>
          </w:p>
        </w:tc>
        <w:tc>
          <w:tcPr>
            <w:tcW w:w="708" w:type="dxa"/>
            <w:tcBorders>
              <w:bottom w:val="single" w:sz="8" w:space="0" w:color="000000"/>
            </w:tcBorders>
            <w:tcMar>
              <w:bottom w:w="28" w:type="dxa"/>
            </w:tcMar>
            <w:vAlign w:val="bottom"/>
          </w:tcPr>
          <w:p>
            <w:pPr>
              <w:pStyle w:val="TableContents"/>
              <w:bidi w:val="0"/>
              <w:spacing w:before="0" w:after="283"/>
              <w:jc w:val="center"/>
              <w:rPr>
                <w:b/>
              </w:rPr>
            </w:pPr>
            <w:r>
              <w:rPr>
                <w:b/>
              </w:rPr>
              <w:t>Max</w:t>
              <w:br/>
              <w:t>(%)</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40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center"/>
              <w:rPr/>
            </w:pPr>
            <w:r>
              <w:rPr/>
              <w:t>200%</w:t>
            </w:r>
          </w:p>
        </w:tc>
        <w:tc>
          <w:tcPr>
            <w:tcW w:w="29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center"/>
              <w:rPr/>
            </w:pPr>
            <w:r>
              <w:rPr/>
              <w:t>25%</w:t>
            </w:r>
          </w:p>
        </w:tc>
        <w:tc>
          <w:tcPr>
            <w:tcW w:w="3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center"/>
              <w:rPr/>
            </w:pPr>
            <w:r>
              <w:rPr/>
              <w:t>100%</w:t>
            </w:r>
          </w:p>
        </w:tc>
        <w:tc>
          <w:tcPr>
            <w:tcW w:w="309"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center"/>
              <w:rPr/>
            </w:pPr>
            <w:r>
              <w:rPr/>
              <w:t>150%</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40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center"/>
              <w:rPr/>
            </w:pPr>
            <w:r>
              <w:rPr/>
              <w:t>100%</w:t>
            </w:r>
          </w:p>
        </w:tc>
        <w:tc>
          <w:tcPr>
            <w:tcW w:w="29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center"/>
              <w:rPr/>
            </w:pPr>
            <w:r>
              <w:rPr/>
              <w:t>25%</w:t>
            </w:r>
          </w:p>
        </w:tc>
        <w:tc>
          <w:tcPr>
            <w:tcW w:w="3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center"/>
              <w:rPr/>
            </w:pPr>
            <w:r>
              <w:rPr/>
              <w:t>100%</w:t>
            </w:r>
          </w:p>
        </w:tc>
        <w:tc>
          <w:tcPr>
            <w:tcW w:w="309"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center"/>
              <w:rPr/>
            </w:pPr>
            <w:r>
              <w:rPr/>
              <w:t>150%</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40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center"/>
              <w:rPr/>
            </w:pPr>
            <w:r>
              <w:rPr/>
              <w:t>100%</w:t>
            </w:r>
          </w:p>
        </w:tc>
        <w:tc>
          <w:tcPr>
            <w:tcW w:w="29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center"/>
              <w:rPr/>
            </w:pPr>
            <w:r>
              <w:rPr/>
              <w:t>25%</w:t>
            </w:r>
          </w:p>
        </w:tc>
        <w:tc>
          <w:tcPr>
            <w:tcW w:w="3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center"/>
              <w:rPr/>
            </w:pPr>
            <w:r>
              <w:rPr/>
              <w:t>100%</w:t>
            </w:r>
          </w:p>
        </w:tc>
        <w:tc>
          <w:tcPr>
            <w:tcW w:w="309"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center"/>
              <w:rPr/>
            </w:pPr>
            <w:r>
              <w:rPr/>
              <w:t>150%</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40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center"/>
              <w:rPr/>
            </w:pPr>
            <w:r>
              <w:rPr/>
              <w:t>100%</w:t>
            </w:r>
          </w:p>
        </w:tc>
        <w:tc>
          <w:tcPr>
            <w:tcW w:w="29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center"/>
              <w:rPr/>
            </w:pPr>
            <w:r>
              <w:rPr/>
              <w:t>25%</w:t>
            </w:r>
          </w:p>
        </w:tc>
        <w:tc>
          <w:tcPr>
            <w:tcW w:w="3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center"/>
              <w:rPr/>
            </w:pPr>
            <w:r>
              <w:rPr/>
              <w:t>100%</w:t>
            </w:r>
          </w:p>
        </w:tc>
        <w:tc>
          <w:tcPr>
            <w:tcW w:w="309"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center"/>
              <w:rPr/>
            </w:pPr>
            <w:r>
              <w:rPr/>
              <w:t>150%</w:t>
            </w:r>
          </w:p>
        </w:tc>
      </w:tr>
      <w:tr>
        <w:trPr/>
        <w:tc>
          <w:tcPr>
            <w:tcW w:w="4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404"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center"/>
              <w:rPr/>
            </w:pPr>
            <w:r>
              <w:rPr/>
              <w:t>100%</w:t>
            </w:r>
          </w:p>
        </w:tc>
        <w:tc>
          <w:tcPr>
            <w:tcW w:w="298"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center"/>
              <w:rPr/>
            </w:pPr>
            <w:r>
              <w:rPr/>
              <w:t>25%</w:t>
            </w:r>
          </w:p>
        </w:tc>
        <w:tc>
          <w:tcPr>
            <w:tcW w:w="3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center"/>
              <w:rPr/>
            </w:pPr>
            <w:r>
              <w:rPr/>
              <w:t>100%</w:t>
            </w:r>
          </w:p>
        </w:tc>
        <w:tc>
          <w:tcPr>
            <w:tcW w:w="309"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center"/>
              <w:rPr/>
            </w:pPr>
            <w:r>
              <w:rPr/>
              <w:t>150%</w:t>
            </w:r>
          </w:p>
        </w:tc>
      </w:tr>
      <w:tr>
        <w:trPr/>
        <w:tc>
          <w:tcPr>
            <w:tcW w:w="4264"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404"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center"/>
              <w:rPr/>
            </w:pPr>
            <w:r>
              <w:rPr/>
              <w:t>100%</w:t>
            </w:r>
          </w:p>
        </w:tc>
        <w:tc>
          <w:tcPr>
            <w:tcW w:w="298"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center"/>
              <w:rPr/>
            </w:pPr>
            <w:r>
              <w:rPr/>
              <w:t>25%</w:t>
            </w:r>
          </w:p>
        </w:tc>
        <w:tc>
          <w:tcPr>
            <w:tcW w:w="3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center"/>
              <w:rPr/>
            </w:pPr>
            <w:r>
              <w:rPr/>
              <w:t>100%</w:t>
            </w:r>
          </w:p>
        </w:tc>
        <w:tc>
          <w:tcPr>
            <w:tcW w:w="309"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center"/>
              <w:rPr/>
            </w:pPr>
            <w:r>
              <w:rPr/>
              <w:t>150%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target EBITDA in 2025 for purposes of the ACIP was $236.1 million. We achieved $350.3 million or 148% of EBITDA target and annual bonuses were paid as set forth above and in the Summary Compensation Table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Pre-IPO 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view equity-based compensation as an important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 We have historically not granted equity awards on an annual basis, and instead have granted equity awards periodically at levels designed to encourage retention over the vesting period. Prior to the IPO, we historically granted Class C Units in SOLV Energy Parent Holdings LP either directly to the participant if the participant was not an employee or to SOLV Energy Management Holdings LP if the participant was an employee, and SOLV Energy Management Holdings LP then granted units to our employees that track the Class C Units (the Class C Units of SOLV Energy Parent Holdings LP or the tracking units granted by SOLV Energy Management Holdings LP, as applicable, shall be referred to as “Class C Units”). The Class C Unit grants were generally sized to incentivize employees for a number of years following the date of grant. The Class C Units are intended to constitute “profits interests” for U.S. federal income tax purposes and allow the holders to participate in the increase in value of SOLV Energy Parent Holdings LP from and after the date of grant of such interests, subject to vesting terms. The Class C Units were granted with a “hurdle amount,” which acted similarly to a strike price for a stock option, such that the holder would only participate in distributions in excess of such amount. The “hurdle amount” is satisfied once distributions equal to the hurdle amount are distributed to Class A Units of SOLV Energy Parent Holdings LP outstanding at the time of the grant of such Class C Units. </w:t>
      </w:r>
    </w:p>
    <w:p>
      <w:pPr>
        <w:pStyle w:val="TextBody"/>
        <w:bidi w:val="0"/>
        <w:spacing w:before="240" w:after="0"/>
        <w:jc w:val="left"/>
        <w:rPr>
          <w:rFonts w:ascii="Times New Roman" w:hAnsi="Times New Roman"/>
          <w:sz w:val="20"/>
        </w:rPr>
      </w:pPr>
      <w:r>
        <w:rPr>
          <w:rFonts w:ascii="Times New Roman" w:hAnsi="Times New Roman"/>
          <w:sz w:val="20"/>
        </w:rPr>
        <w:t xml:space="preserve">For certain awards, 50% of each grant of the Class C Units are generally subject to time-based vesting (the “Time Units”) and 50% of each grant of the Class C Units are generally subject to performance-based vesting (the “Performance Units”). The Time Units vest over five years with 20% of the Time Units eligible to vest on each of the first five anniversaries of the vesting start date, with full acceleration upon a Transaction (as defined below), subject to continued service of the grantee on each applicable vesting date. The performance-based component is satisfied based on achievement of annual EBITDA targets over five years, subject to full acceleration upon a Transaction, in all cases subject to continued service on the vesting date. If the EBITDA target for a given year was not achieved but then the cumulative EBITDA target for a later year was achieved, the previously unvested Performance Units would vest. The performance component is also deemed satisfied on the eighth anniversary of the grant date, subject to continued service of the grantee on such date, even if the EBITDA targets were not previously achieved. Vesting of certain of the Time Units and Performance Units is also conditioned upon the attainment of a specified multiple-of-invested capital return (the “MOIC Units”) for certain holders of Class A Units of SOLV Energy Parent Holdings LP. Our compensation committee and board of managers have implemented alternative vesting schedules from time to time, including certain awards of Class C Units that were only subject to time-based vesting over a five year period. Generally all unvested Class C Units are forfeited upon a termination of service and vested Class C Units are forfeited upon a termination of service for cause. Upon termination of employment or service, holders have six months (or nine months if termination was due to death or disability) to convert vested Class C Units to Class A Units by paying the hurdle amount applicable to the vested Class C Units (as may be adjusted for prior distributions, if any). If not converted during the applicable period, vested Class C Units are forfeited. </w:t>
      </w:r>
    </w:p>
    <w:p>
      <w:pPr>
        <w:pStyle w:val="TextBody"/>
        <w:bidi w:val="0"/>
        <w:spacing w:before="240" w:after="0"/>
        <w:jc w:val="left"/>
        <w:rPr>
          <w:rFonts w:ascii="Times New Roman" w:hAnsi="Times New Roman"/>
          <w:sz w:val="20"/>
        </w:rPr>
      </w:pPr>
      <w:r>
        <w:rPr>
          <w:rFonts w:ascii="Times New Roman" w:hAnsi="Times New Roman"/>
          <w:sz w:val="20"/>
        </w:rPr>
        <w:t xml:space="preserve">A “Transaction” for purposes of the discussion of the pre-IPO equity-based compensation means a sale of all or substantially all of the assets of SOLV Energy Parent Holdings LP, a sale of units of SOLV Energy Parent Holdings LP by American Securities, which results in American Securities owning less than 50% of the outstanding equity interests, or any merger or consolidation of SOLV Energy Parent Holdings LP, which results in American Securities owning less than the majority of the voting power of SOLV Energy Parent Holdings 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the required tabular disclosure below, we generally reflect Class A Units in “stock” awards columns and Class C Units in “option” awards columns. Refer to the Outstanding Equity Awards at 2025 Year End table below for additional information regarding the equity awards issued to our NEOs. </w:t>
      </w:r>
    </w:p>
    <w:p>
      <w:pPr>
        <w:pStyle w:val="TextBody"/>
        <w:bidi w:val="0"/>
        <w:spacing w:before="240" w:after="0"/>
        <w:jc w:val="left"/>
        <w:rPr>
          <w:rFonts w:ascii="Times New Roman" w:hAnsi="Times New Roman"/>
          <w:sz w:val="20"/>
        </w:rPr>
      </w:pPr>
      <w:r>
        <w:rPr>
          <w:rFonts w:ascii="Times New Roman" w:hAnsi="Times New Roman"/>
          <w:sz w:val="20"/>
        </w:rPr>
        <w:t xml:space="preserve">The Class C Units of SOLV Energy Parent Holdings LP, which, in the case of employees, were held indirectly through SOLV Energy Management Holdings LP, and were converted to vested and unvested common units of SOLV Energy Holdings LLC (which will continue to be held indirectly through SOLV Energy Management Holdings LP in the case of employee holders) as a result of the liquidation of SOLV Energy Parent Holdings LP. The amount of common units of SOLV Energy Holdings LLC received by the holders of Class C Units was based on the relative values of Class A Units and Class C Units of SOLV Energy Parent Holdings LP in connection with the IPO. Vested Class C Units were converted to vested common units of SOLV Energy Holdings LLC (which, for employees, will be held indirectly through SOLV Energy Management Holdings LP). The unvested Class C Units that are Time Units were converted to unvested common units of SOLV Energy Holdings LLC with the same time vesting schedule applicable to the Time Units. The Unvested Class C Units that are Performance Units were converted to common units of SOLV Energy Holdings LLC and treated as if they were Time Units at the time of grant, with time vesting beginning on the original vesting start date of the Time Units, such that a portion of such common units will be vested common units and a portion will be unvested common units, subject to the remaining time vesting schedule that applies to the Time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we adopted the 2026 Plan. The 2026 Plan provides flexibility to motivate, attract and retain the service providers who are expected to make significant contributions to our success and allow participants to share in such success. The principal features of the 2026 Plan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2026 Plan is to align the interests of eligible participants with our stockholders by providing incentive compensation tied to the Company’s performance. The intent of the 2026 Plan is to advance the Company’s interests and increase stockholder value by attracting, retaining and motivating key personnel upon whose judgment, initiative and effort the successful conduct of our business is largely dependent. </w:t>
      </w:r>
    </w:p>
    <w:p>
      <w:pPr>
        <w:pStyle w:val="TextBody"/>
        <w:bidi w:val="0"/>
        <w:spacing w:before="360" w:after="0"/>
        <w:jc w:val="left"/>
        <w:rPr>
          <w:rFonts w:ascii="Times New Roman" w:hAnsi="Times New Roman"/>
          <w:i/>
          <w:sz w:val="20"/>
        </w:rPr>
      </w:pPr>
      <w:r>
        <w:rPr>
          <w:rFonts w:ascii="Times New Roman" w:hAnsi="Times New Roman"/>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types of awards available under the 2026 Plan include stock options (both incentive and non-qualified stock options), stock appreciation rights (“SARs”), restricted stock awards, restricted stock units (“RSUs”) and stock awards. All awards granted to participants under the 2026 Plan will be represented by an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w:t>
      </w:r>
    </w:p>
    <w:p>
      <w:pPr>
        <w:pStyle w:val="TextBody"/>
        <w:bidi w:val="0"/>
        <w:spacing w:before="120" w:after="0"/>
        <w:jc w:val="left"/>
        <w:rPr>
          <w:rFonts w:ascii="Times New Roman" w:hAnsi="Times New Roman"/>
          <w:sz w:val="20"/>
        </w:rPr>
      </w:pPr>
      <w:r>
        <w:rPr>
          <w:rFonts w:ascii="Times New Roman" w:hAnsi="Times New Roman"/>
          <w:sz w:val="20"/>
        </w:rPr>
        <w:t xml:space="preserve">Approximately 7,500,000 shares of Class A common stock as of the closing of the IPO are available for awards under the 2026 Plan. Within the share reserve, the total number of shares of Class A common stock are available for awards of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will be reduced by one share for each share subject to an award. On the first day of each fiscal year of the Company, commencing on the first January 1 following the effective date of the 2026 Plan and ending on (and including) the January 1 immediately following the ninth anniversary of the effective date of the 2026 Plan, the aggregate number of shares that may be issued under the 2026 Plan will automatically be increased by a number equal to 3% of the total number of shares actually issued and outstanding on the last day of the preceding fiscal year; provided, however, that the Board may act prior to January 1st of a given year to provide that the increase for such year will be a lesser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award granted under the 2026 Plan is cancelled, expired, forfeited, or surrendered without consideration or otherwise terminated without delivery of the shares to the participant, then such unissued shares will be returned to the 2026 Plan and be available for future awards under the 2026 Plan. </w:t>
      </w:r>
    </w:p>
    <w:p>
      <w:pPr>
        <w:pStyle w:val="TextBody"/>
        <w:bidi w:val="0"/>
        <w:spacing w:before="240" w:after="0"/>
        <w:jc w:val="left"/>
        <w:rPr>
          <w:rFonts w:ascii="Times New Roman" w:hAnsi="Times New Roman"/>
          <w:sz w:val="20"/>
        </w:rPr>
      </w:pPr>
      <w:r>
        <w:rPr>
          <w:rFonts w:ascii="Times New Roman" w:hAnsi="Times New Roman"/>
          <w:sz w:val="20"/>
        </w:rPr>
        <w:t xml:space="preserve">Shares that are withheld from any award in payment of the exercise, base or purchase price or taxes related to such an award, not issued or delivered as a result of the net settlement of any award, or repurchased by the Company on the open market with the proceeds received upon exercise of a stock option will be deemed to have been delivered under the Plan and will not be returned to the 2026 Plan nor be available for future awards under the 2026 Plan. The payment of dividend equivalents in cash in conjunction with any outstanding award shall not count against the share reserve.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Any employee, officer, non-employee director or any natural person who is a consultant or other personal service provider to the Company or any of its subsidiaries can participate in the 2026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 </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its terms, the 2026 Plan may be administered by the compensation committee of our Board, such other committee of no fewer than two members of the Board who are appointed by the Board to administer the 2026 Plan or the Board, as determined by the Board (such administrator of the 2026 Plan, the “Committee”). The Committee has the power and discretion necessary or appropriate to administer the 2026 Plan, with such powers including, but not limited to, the authority to select persons to participate in the 2026 Plan, determine the terms, conditions and restrictions of all awards, adopt rules for the administration, interpretation and application of the 2026 Plan as are consistent therewith, and interpret, amend or revoke any such rules, modify the terms of awards, accelerate the vesting of awards, and make determinations regarding a participant’s termination of employment or service for purposes of an award. The Committee’s determinations, interpretations and actions under the 2026 Plan are binding on the Company, the participants in the 2026 Plan and all other parties. The 2026 Plan will be administered by our compensation committee. The compensation committee may delegate authority to one or more officers of the Company to grant awards to eligible persons other than members of the Board or who are subject to Rule 16b-3 of the Exchange Act, as permitted under the 2026 Plan and under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Award Limit for Non-Employee Directors </w:t>
      </w:r>
    </w:p>
    <w:p>
      <w:pPr>
        <w:pStyle w:val="TextBody"/>
        <w:bidi w:val="0"/>
        <w:spacing w:before="120" w:after="0"/>
        <w:jc w:val="left"/>
        <w:rPr>
          <w:rFonts w:ascii="Times New Roman" w:hAnsi="Times New Roman"/>
          <w:sz w:val="20"/>
        </w:rPr>
      </w:pPr>
      <w:r>
        <w:rPr>
          <w:rFonts w:ascii="Times New Roman" w:hAnsi="Times New Roman"/>
          <w:sz w:val="20"/>
        </w:rPr>
        <w:t xml:space="preserve">No non-employee director may be granted during any calendar year, awards having a fair value (determined on the date of grant) that, when added to all other cash compensation received in respect of service as a member of our Board for such calendar year, exceeds $750,000, provided, however, the independent members of the Board may make exceptions to this limit for a non-executive chair of the Board or for an initial award granted to a non-employee director following his or her appointment to the Board, provided, that the non-employee director receiving such additional compensation may not participate in the decision to award such compensation. </w:t>
      </w:r>
    </w:p>
    <w:p>
      <w:pPr>
        <w:pStyle w:val="TextBody"/>
        <w:bidi w:val="0"/>
        <w:spacing w:before="360" w:after="0"/>
        <w:jc w:val="left"/>
        <w:rPr>
          <w:rFonts w:ascii="Times New Roman" w:hAnsi="Times New Roman"/>
          <w:i/>
          <w:sz w:val="20"/>
        </w:rPr>
      </w:pPr>
      <w:r>
        <w:rPr>
          <w:rFonts w:ascii="Times New Roman" w:hAnsi="Times New Roman"/>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stock option grant entitles a participant to purchase a specified number of shares of our Class A common stock during a specified term (with a maximum term of ten years from the date of grant) at an exercise price that will not be less than the fair market value of a share as of the date of grant (unless otherwise determined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Committee will determine the requirements for vesting and exercisability of the stock options, which may be based on the continued employment or service of the participant with the Company for a specified time period, upon the attainment of performance goals and/or such other terms and conditions as approved by the Committee in its discretion. The stock options may terminate prior to the end of the term or vesting date upon termination of employment or service (or for any other reason), as determined by the Committee. Unless approved by our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2026 Plan will be either non-qualified stock options or incentive stock options (with incentive stock options intended to meet the applicable requirements under the Code). Stock options are nontransferable except in limited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SAR granted under the 2026 Plan will give the participant a right to receive, upon exercise or other payment of the SAR, an amount in cash, shares of Class A common stock or a combination of both equal to (i) the excess of (a) the fair market value of a share on the date of exercise or payment less (b) the base price of the SAR that the Committee specified on the date of the grant multiplied by (ii) the number of shares as to which such SAR is exercised or paid. The base price of a SAR will not be less than the fair market value of a share of Class A common stock on the date of grant. The right of exercise in connection with a SAR may be made by the participant or automatically upon a specified date or event. SARs are nontransferable,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will determine the requirements for vesting and exercisability of the SARs, which may be based on the continued employment or service of the participant with the Company for a specified time period or upon the attainment of specific performance goals. The SARs may be terminated prior to the end of the term (with a maximum term of ten years) upon termination of employment or service, as determined by the Committee. Unless approved by our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the Company over a specified time period, upon the attainment of performance goals, or both. </w:t>
      </w:r>
    </w:p>
    <w:p>
      <w:pPr>
        <w:pStyle w:val="TextBody"/>
        <w:bidi w:val="0"/>
        <w:spacing w:before="240" w:after="0"/>
        <w:jc w:val="left"/>
        <w:rPr>
          <w:rFonts w:ascii="Times New Roman" w:hAnsi="Times New Roman"/>
          <w:sz w:val="20"/>
        </w:rPr>
      </w:pPr>
      <w:r>
        <w:rPr>
          <w:rFonts w:ascii="Times New Roman" w:hAnsi="Times New Roman"/>
          <w:sz w:val="20"/>
        </w:rPr>
        <w:t xml:space="preserve">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An RSU granted under the 2026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Committee will determine the requirements for vesting and payment of the RSUs, which may be based on the continued employment or service of the participant with the Company for a specified time period and also upon the attainment of specific performance goals. RSUs will be forfeited if the vesting requirements are not satisfied. RSUs are nontransferable, except in limited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Stock Awards </w:t>
      </w:r>
    </w:p>
    <w:p>
      <w:pPr>
        <w:pStyle w:val="TextBody"/>
        <w:bidi w:val="0"/>
        <w:spacing w:before="120" w:after="0"/>
        <w:jc w:val="left"/>
        <w:rPr>
          <w:rFonts w:ascii="Times New Roman" w:hAnsi="Times New Roman"/>
          <w:sz w:val="20"/>
        </w:rPr>
      </w:pPr>
      <w:r>
        <w:rPr>
          <w:rFonts w:ascii="Times New Roman" w:hAnsi="Times New Roman"/>
          <w:sz w:val="20"/>
        </w:rPr>
        <w:t xml:space="preserve">Stock awards may be granted to eligible participants under the 2026 Plan and consist of an award of, or an award that is valued by reference to, shares of Class A common stock. A stock award may be granted for past employment or service, in lieu of bonus or other cash compensation, as director’s compensation or any other purpose as determined by the Committee, and shall be based upon or calculated by reference to the Class A common stock. The Committee will determine the requirements for the vesting and payment of the stock award, with the possibility that awards may be made with no vesting requirements. Upon receipt of the stock award that consists of shares of Class A common stock, the participant will not have any rights of a stockholder with respect to such shares, including the right to vote and receive dividends, until such time as shares of Class A common stock (if any) are issued to the participant. </w:t>
      </w:r>
    </w:p>
    <w:p>
      <w:pPr>
        <w:pStyle w:val="TextBody"/>
        <w:bidi w:val="0"/>
        <w:spacing w:before="360" w:after="0"/>
        <w:jc w:val="left"/>
        <w:rPr>
          <w:rFonts w:ascii="Times New Roman" w:hAnsi="Times New Roman"/>
          <w:i/>
          <w:sz w:val="20"/>
        </w:rPr>
      </w:pPr>
      <w:r>
        <w:rPr>
          <w:rFonts w:ascii="Times New Roman" w:hAnsi="Times New Roman"/>
          <w:i/>
          <w:sz w:val="20"/>
        </w:rPr>
        <w:t xml:space="preserve">Plan Amendments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amend, modify, suspend or terminate the 2026 Plan; provided that if such amendment, modification, suspension or termination materially and adversely affects any award, the Company must obtain the affected participant’s consent, subject to changes that are necessary to comply with applicable laws. Certain amendments or modifications of the 2026 Plan may also be subject to the approval of our stockholders as required by SEC and Nasdaq rules or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Awards under the 2026 Plan may be subject to reduction, cancellation or forfeiture upon termination of service or failure to meet applicable performance conditions or other vesting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Plan, unless an award agreement or employment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the Company, the Company may cancel, forfeit and/or recoup any or all of that participant’s outstanding awards. In addition, if the Committee makes the determination above, the Company may suspend the participant’s right to exercise any stock option or SAR, receive any payment or vest in any award pending a determination of whether the act falls within the definition of cause (as defined in the 2026 Plan). If a participant voluntarily terminates employment or service in anticipation of an involuntary termination for cause, that shall be deemed a termination for cause. </w:t>
      </w:r>
    </w:p>
    <w:p>
      <w:pPr>
        <w:pStyle w:val="TextBody"/>
        <w:bidi w:val="0"/>
        <w:spacing w:before="360" w:after="0"/>
        <w:jc w:val="left"/>
        <w:rPr>
          <w:rFonts w:ascii="Times New Roman" w:hAnsi="Times New Roman"/>
          <w:i/>
          <w:sz w:val="20"/>
        </w:rPr>
      </w:pPr>
      <w:r>
        <w:rPr>
          <w:rFonts w:ascii="Times New Roman" w:hAnsi="Times New Roman"/>
          <w:i/>
          <w:sz w:val="20"/>
        </w:rPr>
        <w:t xml:space="preserve">Right of Recapture </w:t>
      </w:r>
    </w:p>
    <w:p>
      <w:pPr>
        <w:pStyle w:val="TextBody"/>
        <w:bidi w:val="0"/>
        <w:spacing w:before="120" w:after="0"/>
        <w:jc w:val="left"/>
        <w:rPr>
          <w:rFonts w:ascii="Times New Roman" w:hAnsi="Times New Roman"/>
          <w:sz w:val="20"/>
        </w:rPr>
      </w:pPr>
      <w:r>
        <w:rPr>
          <w:rFonts w:ascii="Times New Roman" w:hAnsi="Times New Roman"/>
          <w:sz w:val="20"/>
        </w:rPr>
        <w:t xml:space="preserve">Awards granted under the 2026 Plan may be subject to recoupment in accordance with Section 954 of the Dodd-Frank Act, as well as rules and regulations adopted, or to be adopted, by the SEC and Nasdaq (regarding recoupment of erroneously awarded compensation). The Company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violated any continuing obligation of the participant with respect to the Company or (c) the Committee determines the participant is subject to recoupment due to a clawback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Performance Goals; Adjustment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for the performance goals to which an award is subject, or the manner in which performance will be measured against such performance goals, to be adjusted in such manner as it deems appropriate. Such adjustments include, without limitation, adjustments to reflect changes for restructurings, non-operating income, the impact of corporate transactions or discontinued operations, events that are unusual in nature or infrequent in occurrence and other non-recurring items, currency fluctuations, litigation or claim judgements, settlements, and the effects of accounting or tax law changes.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Under the 2026 Plan, in the event of a change in control of the Company, as defined in the 2026 Plan, all outstanding awards shall either be (a) 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target level, unless otherwise provided in an award agreement or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of Class A common stock, other property or any combination of such consideration), less any applicable exercise or base price.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or service is terminated on or within 24 months following a change in control by the Company without cause or upon other circumstances provided in an award agreement, the unvested portion (if any) of all outstanding awards held by the participant shall immediately vest (and if applicable, become exercisable) and be paid in full upon such termination, with any applicable performance conditions deemed achieved (i) for any completed performance period, based on actual performance or (ii) for any partial or future performance period, at the target level, in each case, as determined by the Committee (unless otherwise provided in an award agreement or employment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Substitution or Assumption of Awards in Connection with an Acquisition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2026 Plan if the Committee deems it necessary. To the extent permitted by law and applicable listing requirements, the assumed or substituted awards will not reduce the total number of shares available for awards under the 2026 Plan.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(iii) other value determination applicable to the 2026 Plan and/or outstanding awards and/or (iv) any other terms of an award affected by the corporate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IPO Equity Grants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we granted restricted stock to all employees with at least one year of service with us, with a grant date value of $5,000 based on the IPO price. The restricted stock awards will vest on the third anniversary of the completion of the IPO, subject to continued employment on such date. The individuals who held Class C Units that were converted to common units as described above also received stock options with an exercise price equal to the IPO price to account for the dilution as a result of the conversion. The options will vest in three equal annual installments over the three-year period following the IPO, subject to continued employment through the vesting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Award Timing Practice </w:t>
      </w:r>
    </w:p>
    <w:p>
      <w:pPr>
        <w:pStyle w:val="TextBody"/>
        <w:bidi w:val="0"/>
        <w:spacing w:before="120" w:after="0"/>
        <w:jc w:val="left"/>
        <w:rPr>
          <w:rFonts w:ascii="Times New Roman" w:hAnsi="Times New Roman"/>
          <w:sz w:val="20"/>
        </w:rPr>
      </w:pPr>
      <w:r>
        <w:rPr>
          <w:rFonts w:ascii="Times New Roman" w:hAnsi="Times New Roman"/>
          <w:sz w:val="20"/>
        </w:rPr>
        <w:t xml:space="preserve">Although we do not have a formal policy regarding the timing of stock option grants to our NEOs, we do not grant stock options or any other form of equity compensation in anticipation of the release of material, non-public information. Similarly, we do not time the release of material, non-public information based on stock option or other equity award grant dates for the purpose of affecting the value of any NEO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We provide the following benefits to our NEOs on the same basis as other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Group medical, dental and vision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 insurance and accidental death and dismemberment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401(k) and Profit Sharing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Vacation, paid holidays and paid sick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provide severance protection to certain of our NEOs pursuant to their employment agreements to the extent they have one and certain limited termination-related protections in their equity award agreements. We also provided vehicle allowances to our NEOs in 2025, which program has been discontinued. Our board of managers believes that the costs of providing these perquisites and benefits are reasonable relative to their value to our NEOs. These perquisites are designed to support a market-based total compensation package, which serves our talent attraction and retention objectives. We do not gross up any benefits or perquisites for taxes; executive officers bear that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Plans </w:t>
      </w:r>
    </w:p>
    <w:p>
      <w:pPr>
        <w:pStyle w:val="TextBody"/>
        <w:bidi w:val="0"/>
        <w:spacing w:before="120" w:after="0"/>
        <w:jc w:val="left"/>
        <w:rPr>
          <w:rFonts w:ascii="Times New Roman" w:hAnsi="Times New Roman"/>
          <w:sz w:val="20"/>
        </w:rPr>
      </w:pPr>
      <w:r>
        <w:rPr>
          <w:rFonts w:ascii="Times New Roman" w:hAnsi="Times New Roman"/>
          <w:sz w:val="20"/>
        </w:rPr>
        <w:t xml:space="preserve">Our NEOs participate along with certain of our other employees and executives in our 401(k) plan. Under our 401(k) plan, we make a matching contribution to certain employees equal to 100% of a participant’s elective deferral contributions up to 3%, and 50% of a participant’s elective deferral contributions of the next 2% of the participant’s pay that vests immediately. Our NEOs also participate along with certain of our employees and executives in our profit sharing plan. Each year, we may contribute a portion of our profits, upon approval by the Board, to each participant’s 401(k) account based on the individual’s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retirement programs serve as an important tool to attract and retain our NEOs and other key employees. We also believe that offering a baseline of stable retirement benefits encourages our NEOs to make a long-term commitment to us. We do not adjust the level of retirement benefits based on the value of a NEO’s long-term incentive awards nor do we adjust the level of a NEO’s total direct compensation for a given year in light of the value of retirement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Employment Agreement with our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agreement pursuant to which Mr. Hershman serves as our chief executive officer and president (the “Hershman Employment Agreement”). In addition to base salary, the Hershman Employment Agreement entitles Mr. Hershman to an annual cash target bonus opportunity of 200% of his annual base salary. Mr. Hershman is entitled to reimbursement of all reasonable business expenses incurred in the ordinary course of his duties that are consistent with our policies on travel, entertainment and other business expenses. </w:t>
      </w:r>
    </w:p>
    <w:p>
      <w:pPr>
        <w:pStyle w:val="TextBody"/>
        <w:bidi w:val="0"/>
        <w:spacing w:before="240" w:after="0"/>
        <w:jc w:val="left"/>
        <w:rPr>
          <w:rFonts w:ascii="Times New Roman" w:hAnsi="Times New Roman"/>
          <w:sz w:val="20"/>
        </w:rPr>
      </w:pPr>
      <w:r>
        <w:rPr>
          <w:rFonts w:ascii="Times New Roman" w:hAnsi="Times New Roman"/>
          <w:sz w:val="20"/>
        </w:rPr>
        <w:t xml:space="preserve">If Mr. Hershman is terminated by us without “cause” or for “good reason” (in each case, as defined in the Hershman Employment Agreement), then, subject to his continued compliance with restrictive covenants to which he is subject, his timely execution and non-revocation of a release of claims in our favor and subject to certain exceptions, during the severance period, he is entitled to receive severance payments and benefits consisting of (i) the sum of (A) 12 months of base salary and (B) target annual bonus; (ii) a pro rata portion of the bonus Mr. Hershman would have earned for the year of termination (based on actual performance for such year and provided that the termination date occurs on or after the first day of the third quarter of the fiscal year) (“Pro Rata Bonus”); (iii) up to 18 months of continued participation in our group health plan paid for by us in full for 12 months and with premiums for the last 6 months paid by the Company and Mr. Hershman as if he was an active employee and (iv) any earned but unpaid bonus for any completed bonus year prior to termination (“Prior Year Bonus”).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Hershman’s death, he is entitled to receive the Pro Rata Bonus and Prior Year Bonus as well as any insurance benefits payable under any benefit plans (other than any life insurance owned by us, such as key-man life insurance).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Hershman’s disability, he is entitled to receive, subject to the execution of a release of claims in our favor, the payments and benefits due upon death as well as 12 months of base salary continuation. </w:t>
      </w:r>
    </w:p>
    <w:p>
      <w:pPr>
        <w:pStyle w:val="TextBody"/>
        <w:bidi w:val="0"/>
        <w:spacing w:before="240" w:after="0"/>
        <w:jc w:val="left"/>
        <w:rPr>
          <w:rFonts w:ascii="Times New Roman" w:hAnsi="Times New Roman"/>
          <w:sz w:val="20"/>
        </w:rPr>
      </w:pPr>
      <w:r>
        <w:rPr>
          <w:rFonts w:ascii="Times New Roman" w:hAnsi="Times New Roman"/>
          <w:sz w:val="20"/>
        </w:rPr>
        <w:t xml:space="preserve">The Hershman Employment Agreement also contains perpetual non-disparagement and non-solicitation and non-hire of employee restrictions for 24 months post-termination, as well as perpetual confidentiality restrictions and provisions related to intellectual property protection. </w:t>
      </w:r>
    </w:p>
    <w:p>
      <w:pPr>
        <w:pStyle w:val="TextBody"/>
        <w:bidi w:val="0"/>
        <w:spacing w:before="240" w:after="0"/>
        <w:jc w:val="left"/>
        <w:rPr>
          <w:rFonts w:ascii="Times New Roman" w:hAnsi="Times New Roman"/>
          <w:sz w:val="20"/>
        </w:rPr>
      </w:pPr>
      <w:r>
        <w:rPr>
          <w:rFonts w:ascii="Times New Roman" w:hAnsi="Times New Roman"/>
          <w:sz w:val="20"/>
        </w:rPr>
        <w:t xml:space="preserve">There are currently no other employment agreements with any of the other NEOs or with our Chief Financial Officer (other than severance agreements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Severance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severance agreements with certain NEOs, which provide for severance benefits and payments upon qualifying terminations without cause or resignations for good reason. A summary of the material terms of these severance agreements are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severance agreements with Messrs. Grubb, Catalano and Plotkin, pursuant to which each is entitled to certain severance payments and benefits upon a qualifying termination (collectively, the “Severance Agreements”). If Messrs. Grubb, Catalano or Plotkin are terminated by us without “cause” or for “good reason” (as defined in the Severance Agreements), then, subject to continued compliance in all material respects with restrictive covenants to which they are bound and the timely execution and non-revocation of a release of claims in our favor, the Severance Agreements provide severance payments and benefits consisting of (i) 12 months continuation of base salary; (ii) a pro rata portion of the bonus each would have earned for the year of termination (based on actual performance for such year), provided that the termination date occurs on or after the first day of the third quarter of the fiscal year; (iii) up to 18 months of continued participation in our group health plan paid for by us in full for 12 months and with premiums for the last 6 months to be paid by the Company and Messrs. Grubb, Catalano or Plotkin, respectively, as if they were active employees; and (iv) any earned but unpaid bonus for any completed bonus year prior to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Severance Agreements, within 20 days following the termination of Messrs. Grubb, Catalano or Plotkin, we may determine to release them from any restrictive covenant obligations to which they are bound and terminate all severance payments and benefits.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Messrs. Grubb and Catalano are individually party to restrictive covenant agreements that contain non-disparagement and non-solicitation restrictions (collectively, the “Restrictive Activity Agreements”). Pursuant to the Restrictive Activity Agreements, Messrs. Grubb and Mr. Catalano have agreed to refrain from making or publishing disparaging statements against us for five years post-termination and from soliciting our employees for two years post-termination.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and Accounting Considerations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We consider the tax (individual and corporate) consequences of our executive compensation plans when designing the plans. Section 162(m) of the Code limits tax deduction of compensation paid in excess of $1,000,000 per year to NEOs. </w:t>
      </w:r>
    </w:p>
    <w:p>
      <w:pPr>
        <w:pStyle w:val="TextBody"/>
        <w:bidi w:val="0"/>
        <w:spacing w:before="360" w:after="0"/>
        <w:jc w:val="left"/>
        <w:rPr>
          <w:rFonts w:ascii="Times New Roman" w:hAnsi="Times New Roman"/>
          <w:i/>
          <w:sz w:val="20"/>
        </w:rPr>
      </w:pPr>
      <w:r>
        <w:rPr>
          <w:rFonts w:ascii="Times New Roman" w:hAnsi="Times New Roman"/>
          <w:i/>
          <w:sz w:val="20"/>
        </w:rPr>
        <w:t xml:space="preserve">Accounting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We also consider the stock-based compensation expense associated with equity awards to executive officers as part of the expense associated with our overall equity compensation program. We will monitor this expense as we develop our plans and strive to maintain a program that balances the goals of our equity program with the associated expense of the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Recovery of Erroneously Awarded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Nasdaq listing standards, we adopted a policy that requires, subject to certain limited exceptions, the recoupment of erroneously awarded incentive compensation in the event of an accounting restatement resulting from material noncompliance with any financial reporting requirement under the U.S. federal securities laws. In such an event, we will seek to recover the amount of erroneously awarded incentive-based compensation received by current and former executive officers during the three-year fiscal year period prior to the date we are required to prepare an accounting restatement that was in excess of the amount that would have been awarded based on the related financial results, subject to and in accordance with the terms of the policy and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compensation earned by our NEOs in 2025. </w:t>
      </w:r>
    </w:p>
    <w:p>
      <w:pPr>
        <w:pStyle w:val="TextBody"/>
        <w:bidi w:val="0"/>
        <w:spacing w:before="0" w:after="0"/>
        <w:jc w:val="left"/>
        <w:rPr/>
      </w:pPr>
      <w:r>
        <w:rPr/>
        <w:t> </w:t>
      </w:r>
    </w:p>
    <w:tbl>
      <w:tblPr>
        <w:tblW w:w="10440" w:type="dxa"/>
        <w:jc w:val="center"/>
        <w:tblInd w:w="0" w:type="dxa"/>
        <w:tblLayout w:type="fixed"/>
        <w:tblCellMar>
          <w:top w:w="0" w:type="dxa"/>
          <w:left w:w="0" w:type="dxa"/>
          <w:bottom w:w="0" w:type="dxa"/>
          <w:right w:w="0" w:type="dxa"/>
        </w:tblCellMar>
      </w:tblPr>
      <w:tblGrid>
        <w:gridCol w:w="2300"/>
        <w:gridCol w:w="120"/>
        <w:gridCol w:w="60"/>
        <w:gridCol w:w="500"/>
        <w:gridCol w:w="60"/>
        <w:gridCol w:w="120"/>
        <w:gridCol w:w="140"/>
        <w:gridCol w:w="800"/>
        <w:gridCol w:w="60"/>
        <w:gridCol w:w="120"/>
        <w:gridCol w:w="140"/>
        <w:gridCol w:w="800"/>
        <w:gridCol w:w="60"/>
        <w:gridCol w:w="120"/>
        <w:gridCol w:w="140"/>
        <w:gridCol w:w="980"/>
        <w:gridCol w:w="60"/>
        <w:gridCol w:w="120"/>
        <w:gridCol w:w="152"/>
        <w:gridCol w:w="1068"/>
        <w:gridCol w:w="60"/>
        <w:gridCol w:w="120"/>
        <w:gridCol w:w="167"/>
        <w:gridCol w:w="813"/>
        <w:gridCol w:w="60"/>
        <w:gridCol w:w="120"/>
        <w:gridCol w:w="140"/>
        <w:gridCol w:w="980"/>
        <w:gridCol w:w="6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Position(1)</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r>
            <w:r>
              <w:rPr/>
              <w:br/>
            </w:r>
            <w:r>
              <w:rPr>
                <w:b/>
              </w:rPr>
              <w:t>Incentive</w:t>
            </w:r>
            <w:r>
              <w:rPr/>
              <w:br/>
            </w:r>
            <w:r>
              <w:rPr>
                <w:b/>
              </w:rPr>
              <w:t>Plan</w:t>
            </w:r>
            <w:r>
              <w:rPr/>
              <w:br/>
            </w:r>
            <w:r>
              <w:rPr>
                <w:b/>
              </w:rPr>
              <w:t>(Compen-</w:t>
              <w:br/>
              <w:t>sation)(4)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Compen-</w:t>
              <w:br/>
              <w:t>sation(5)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604,980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1,815,063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25,180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2,445,223</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446,181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575,000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2,104,440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696,575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3,834,696</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p>
            <w:pPr>
              <w:pStyle w:val="TableContents"/>
              <w:bidi w:val="0"/>
              <w:spacing w:before="0" w:after="20"/>
              <w:jc w:val="left"/>
              <w:rPr>
                <w:rFonts w:ascii="Times New Roman" w:hAnsi="Times New Roman"/>
                <w:sz w:val="20"/>
              </w:rPr>
            </w:pPr>
            <w:r>
              <w:rPr>
                <w:rFonts w:ascii="Times New Roman" w:hAnsi="Times New Roman"/>
                <w:sz w:val="20"/>
              </w:rPr>
              <w:t>Former Chief Financial Officer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369,652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555,924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39,180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964,756</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tcPr>
          <w:p>
            <w:pPr>
              <w:pStyle w:val="TableContents"/>
              <w:bidi w:val="0"/>
              <w:spacing w:before="0" w:after="0"/>
              <w:jc w:val="left"/>
              <w:rPr>
                <w:rFonts w:ascii="Times New Roman" w:hAnsi="Times New Roman"/>
                <w:sz w:val="20"/>
              </w:rPr>
            </w:pPr>
            <w:r>
              <w:rPr>
                <w:rFonts w:ascii="Times New Roman" w:hAnsi="Times New Roman"/>
                <w:sz w:val="20"/>
              </w:rPr>
              <w:t>Kevin Deters</w:t>
            </w:r>
          </w:p>
          <w:p>
            <w:pPr>
              <w:pStyle w:val="TableContents"/>
              <w:bidi w:val="0"/>
              <w:spacing w:before="0" w:after="20"/>
              <w:jc w:val="left"/>
              <w:rPr>
                <w:rFonts w:ascii="Times New Roman" w:hAnsi="Times New Roman"/>
                <w:sz w:val="20"/>
              </w:rPr>
            </w:pPr>
            <w:r>
              <w:rPr>
                <w:rFonts w:ascii="Times New Roman" w:hAnsi="Times New Roman"/>
                <w:sz w:val="20"/>
              </w:rPr>
              <w:t>Chief Operating Officer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427,482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645,340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36,645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1,109,467</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w:t>
            </w:r>
          </w:p>
          <w:p>
            <w:pPr>
              <w:pStyle w:val="TableContents"/>
              <w:bidi w:val="0"/>
              <w:spacing w:before="0" w:after="20"/>
              <w:jc w:val="left"/>
              <w:rPr>
                <w:rFonts w:ascii="Times New Roman" w:hAnsi="Times New Roman"/>
                <w:sz w:val="20"/>
              </w:rPr>
            </w:pPr>
            <w:r>
              <w:rPr>
                <w:rFonts w:ascii="Times New Roman" w:hAnsi="Times New Roman"/>
                <w:sz w:val="20"/>
              </w:rPr>
              <w:t>Chief Commercial Officer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358,107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537,845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36,645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932,597</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p>
            <w:pPr>
              <w:pStyle w:val="TableContents"/>
              <w:bidi w:val="0"/>
              <w:spacing w:before="0" w:after="20"/>
              <w:jc w:val="left"/>
              <w:rPr>
                <w:rFonts w:ascii="Times New Roman" w:hAnsi="Times New Roman"/>
                <w:sz w:val="20"/>
              </w:rPr>
            </w:pPr>
            <w:r>
              <w:rPr>
                <w:rFonts w:ascii="Times New Roman" w:hAnsi="Times New Roman"/>
                <w:sz w:val="20"/>
              </w:rPr>
              <w:t>Chief Strategy Officer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364,565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547,531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39,180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951,276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Catalano served as our Chief Financial Officer until January 27, 2025 and Mr. Plotkin has served as our Chief Financial Officer since January 27,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Plotkin, amount reflects a discretionary sign-on cash bonus.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Plotkin, amount reflects a discretionary sign-on award of Class C Units, which units are intended to constitute profits interests for U.S. federal income tax purposes, which have certain “option-like features” (although no exercise price) and we reflect as an “option award” for the purposes of the tabular disclosure. Amount reflects the grant date fair value of Class C Units granted to Mr. Plotkin computed in accordance with ASC 718.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short-term cash incentive plan payouts for our NEOs earned in fiscal 2025. See “Primary Components of our Executive Compensation Program—Annual Cash Incentive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auto allowances and 401(k) matching and profit sharing contributions, respectively,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0"/>
        <w:gridCol w:w="188"/>
        <w:gridCol w:w="60"/>
        <w:gridCol w:w="514"/>
        <w:gridCol w:w="60"/>
        <w:gridCol w:w="188"/>
        <w:gridCol w:w="235"/>
        <w:gridCol w:w="947"/>
        <w:gridCol w:w="60"/>
        <w:gridCol w:w="188"/>
        <w:gridCol w:w="253"/>
        <w:gridCol w:w="1213"/>
        <w:gridCol w:w="60"/>
        <w:gridCol w:w="188"/>
        <w:gridCol w:w="230"/>
        <w:gridCol w:w="1143"/>
        <w:gridCol w:w="60"/>
        <w:gridCol w:w="188"/>
        <w:gridCol w:w="140"/>
        <w:gridCol w:w="681"/>
        <w:gridCol w:w="69"/>
      </w:tblGrid>
      <w:tr>
        <w:trPr/>
        <w:tc>
          <w:tcPr>
            <w:tcW w:w="354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88" w:type="dxa"/>
            <w:tcBorders/>
            <w:vAlign w:val="bottom"/>
          </w:tcPr>
          <w:p>
            <w:pPr>
              <w:pStyle w:val="TableContents"/>
              <w:bidi w:val="0"/>
              <w:spacing w:before="0" w:after="283"/>
              <w:jc w:val="left"/>
              <w:rPr/>
            </w:pPr>
            <w:r>
              <w:rPr/>
              <w:t>  </w:t>
            </w:r>
          </w:p>
        </w:tc>
        <w:tc>
          <w:tcPr>
            <w:tcW w:w="5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pPr>
            <w:r>
              <w:rPr>
                <w:b/>
              </w:rPr>
              <w:t>Auto</w:t>
            </w:r>
            <w:r>
              <w:rPr/>
              <w:br/>
            </w:r>
            <w:r>
              <w:rPr>
                <w:b/>
              </w:rPr>
              <w:t>Allowances</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pPr>
            <w:r>
              <w:rPr>
                <w:b/>
              </w:rPr>
              <w:t>401(k)</w:t>
            </w:r>
            <w:r>
              <w:rPr/>
              <w:br/>
            </w:r>
            <w:r>
              <w:rPr>
                <w:b/>
              </w:rPr>
              <w:t>Matching</w:t>
            </w:r>
            <w:r>
              <w:rPr/>
              <w:br/>
            </w:r>
            <w:r>
              <w:rPr>
                <w:b/>
              </w:rPr>
              <w:t>Contributions</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pPr>
            <w:r>
              <w:rPr>
                <w:b/>
              </w:rPr>
              <w:t>Profit</w:t>
            </w:r>
            <w:r>
              <w:rPr/>
              <w:br/>
            </w:r>
            <w:r>
              <w:rPr>
                <w:b/>
              </w:rPr>
              <w:t>Sharing</w:t>
            </w:r>
            <w:r>
              <w:rPr/>
              <w:br/>
            </w:r>
            <w:r>
              <w:rPr>
                <w:b/>
              </w:rPr>
              <w:t>Contribution</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7,930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25,180</w:t>
            </w:r>
          </w:p>
        </w:tc>
        <w:tc>
          <w:tcPr>
            <w:tcW w:w="6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12,500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12,500</w:t>
            </w:r>
          </w:p>
        </w:tc>
        <w:tc>
          <w:tcPr>
            <w:tcW w:w="6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7,930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39,180</w:t>
            </w:r>
          </w:p>
        </w:tc>
        <w:tc>
          <w:tcPr>
            <w:tcW w:w="6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5,395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14,000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17,250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36,645</w:t>
            </w:r>
          </w:p>
        </w:tc>
        <w:tc>
          <w:tcPr>
            <w:tcW w:w="69" w:type="dxa"/>
            <w:tcBorders/>
            <w:vAlign w:val="bottom"/>
          </w:tcPr>
          <w:p>
            <w:pPr>
              <w:pStyle w:val="TableContents"/>
              <w:bidi w:val="0"/>
              <w:spacing w:before="0" w:after="283"/>
              <w:jc w:val="left"/>
              <w:rPr/>
            </w:pPr>
            <w:r>
              <w:rPr/>
              <w:t> </w:t>
            </w:r>
          </w:p>
        </w:tc>
      </w:tr>
      <w:tr>
        <w:trPr/>
        <w:tc>
          <w:tcPr>
            <w:tcW w:w="35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5,395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36,645</w:t>
            </w:r>
          </w:p>
        </w:tc>
        <w:tc>
          <w:tcPr>
            <w:tcW w:w="69" w:type="dxa"/>
            <w:tcBorders/>
            <w:shd w:fill="CCEEFF" w:val="clear"/>
            <w:vAlign w:val="bottom"/>
          </w:tcPr>
          <w:p>
            <w:pPr>
              <w:pStyle w:val="TableContents"/>
              <w:bidi w:val="0"/>
              <w:spacing w:before="0" w:after="283"/>
              <w:jc w:val="left"/>
              <w:rPr/>
            </w:pPr>
            <w:r>
              <w:rPr/>
              <w:t> </w:t>
            </w:r>
          </w:p>
        </w:tc>
      </w:tr>
      <w:tr>
        <w:trPr/>
        <w:tc>
          <w:tcPr>
            <w:tcW w:w="3540"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7,930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213" w:type="dxa"/>
            <w:tcBorders/>
            <w:vAlign w:val="bottom"/>
          </w:tcPr>
          <w:p>
            <w:pPr>
              <w:pStyle w:val="TableContents"/>
              <w:bidi w:val="0"/>
              <w:spacing w:before="0" w:after="283"/>
              <w:jc w:val="right"/>
              <w:rPr/>
            </w:pPr>
            <w:r>
              <w:rPr/>
              <w:t>14,000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17,250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39,180</w:t>
            </w:r>
          </w:p>
        </w:tc>
        <w:tc>
          <w:tcPr>
            <w:tcW w:w="6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our board of managers elected to phase out auto allowance reimbursement for NEOs in July 2025 and increased all NEOs’ base salaries by the same amount. </w:t>
      </w:r>
    </w:p>
    <w:p>
      <w:pPr>
        <w:pStyle w:val="TextBody"/>
        <w:bidi w:val="0"/>
        <w:spacing w:before="360" w:after="0"/>
        <w:jc w:val="left"/>
        <w:rPr>
          <w:rFonts w:ascii="Times New Roman" w:hAnsi="Times New Roman"/>
          <w:b/>
          <w:sz w:val="20"/>
        </w:rPr>
      </w:pPr>
      <w:r>
        <w:rPr>
          <w:rFonts w:ascii="Times New Roman" w:hAnsi="Times New Roman"/>
          <w:b/>
          <w:sz w:val="20"/>
        </w:rPr>
        <w:t xml:space="preserve">Grants of Plan-Based Awards During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regarding the grant of plan-based awards made in 2025 to our NEOs: </w:t>
      </w:r>
    </w:p>
    <w:p>
      <w:pPr>
        <w:pStyle w:val="TextBody"/>
        <w:bidi w:val="0"/>
        <w:spacing w:before="0" w:after="0"/>
        <w:jc w:val="left"/>
        <w:rPr/>
      </w:pPr>
      <w:r>
        <w:rPr/>
        <w:t> </w:t>
      </w:r>
    </w:p>
    <w:tbl>
      <w:tblPr>
        <w:tblW w:w="10970" w:type="dxa"/>
        <w:jc w:val="center"/>
        <w:tblInd w:w="0" w:type="dxa"/>
        <w:tblLayout w:type="fixed"/>
        <w:tblCellMar>
          <w:top w:w="0" w:type="dxa"/>
          <w:left w:w="0" w:type="dxa"/>
          <w:bottom w:w="0" w:type="dxa"/>
          <w:right w:w="0" w:type="dxa"/>
        </w:tblCellMar>
      </w:tblPr>
      <w:tblGrid>
        <w:gridCol w:w="830"/>
        <w:gridCol w:w="120"/>
        <w:gridCol w:w="635"/>
        <w:gridCol w:w="120"/>
        <w:gridCol w:w="60"/>
        <w:gridCol w:w="575"/>
        <w:gridCol w:w="60"/>
        <w:gridCol w:w="120"/>
        <w:gridCol w:w="74"/>
        <w:gridCol w:w="996"/>
        <w:gridCol w:w="60"/>
        <w:gridCol w:w="120"/>
        <w:gridCol w:w="60"/>
        <w:gridCol w:w="980"/>
        <w:gridCol w:w="60"/>
        <w:gridCol w:w="120"/>
        <w:gridCol w:w="61"/>
        <w:gridCol w:w="1009"/>
        <w:gridCol w:w="60"/>
        <w:gridCol w:w="120"/>
        <w:gridCol w:w="141"/>
        <w:gridCol w:w="899"/>
        <w:gridCol w:w="60"/>
        <w:gridCol w:w="120"/>
        <w:gridCol w:w="95"/>
        <w:gridCol w:w="1080"/>
        <w:gridCol w:w="60"/>
        <w:gridCol w:w="120"/>
        <w:gridCol w:w="119"/>
        <w:gridCol w:w="756"/>
        <w:gridCol w:w="60"/>
        <w:gridCol w:w="120"/>
        <w:gridCol w:w="60"/>
        <w:gridCol w:w="980"/>
        <w:gridCol w:w="60"/>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40" w:type="dxa"/>
            <w:gridSpan w:val="10"/>
            <w:tcBorders>
              <w:bottom w:val="single" w:sz="8" w:space="0" w:color="000000"/>
            </w:tcBorders>
            <w:tcMar>
              <w:bottom w:w="28" w:type="dxa"/>
            </w:tcMar>
            <w:vAlign w:val="bottom"/>
          </w:tcPr>
          <w:p>
            <w:pPr>
              <w:pStyle w:val="TableContents"/>
              <w:bidi w:val="0"/>
              <w:spacing w:before="0" w:after="283"/>
              <w:jc w:val="center"/>
              <w:rPr/>
            </w:pPr>
            <w:r>
              <w:rPr>
                <w:b/>
              </w:rPr>
              <w:t>Estimated Future Payouts</w:t>
            </w:r>
            <w:r>
              <w:rPr/>
              <w:br/>
            </w:r>
            <w:r>
              <w:rPr>
                <w:b/>
              </w:rPr>
              <w:t>Under Non-Equity</w:t>
            </w:r>
            <w:r>
              <w:rPr/>
              <w:br/>
            </w:r>
            <w:r>
              <w:rPr>
                <w:b/>
              </w:rPr>
              <w:t>Incentive Plan Awards(1)</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Estimated</w:t>
            </w:r>
            <w:r>
              <w:rPr/>
              <w:br/>
            </w:r>
            <w:r>
              <w:rPr>
                <w:b/>
              </w:rPr>
              <w:t>Future</w:t>
            </w:r>
            <w:r>
              <w:rPr/>
              <w:br/>
            </w:r>
            <w:r>
              <w:rPr>
                <w:b/>
              </w:rPr>
              <w:t>Payouts</w:t>
            </w:r>
            <w:r>
              <w:rPr/>
              <w:br/>
            </w:r>
            <w:r>
              <w:rPr>
                <w:b/>
              </w:rPr>
              <w:t>Under</w:t>
            </w:r>
            <w:r>
              <w:rPr/>
              <w:br/>
            </w:r>
            <w:r>
              <w:rPr>
                <w:b/>
              </w:rPr>
              <w:t>Equity</w:t>
            </w:r>
            <w:r>
              <w:rPr/>
              <w:br/>
            </w:r>
            <w:r>
              <w:rPr>
                <w:b/>
              </w:rPr>
              <w:t>Incentive</w:t>
            </w:r>
            <w:r>
              <w:rPr/>
              <w:br/>
            </w:r>
            <w:r>
              <w:rPr>
                <w:b/>
              </w:rPr>
              <w:t>Plan</w:t>
            </w:r>
            <w:r>
              <w:rPr/>
              <w:br/>
            </w:r>
            <w:r>
              <w:rPr>
                <w:b/>
              </w:rPr>
              <w:t>Awards</w:t>
            </w:r>
            <w:r>
              <w:rPr/>
              <w:br/>
            </w:r>
            <w:r>
              <w:rPr>
                <w:b/>
              </w:rPr>
              <w:t xml:space="preserve">Target </w:t>
            </w:r>
            <w:r>
              <w:rPr/>
              <w:br/>
            </w:r>
            <w:r>
              <w:rPr>
                <w:b/>
              </w:rPr>
              <w:t>(#)</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Option</w:t>
            </w:r>
            <w:r>
              <w:rPr/>
              <w:br/>
            </w:r>
            <w:r>
              <w:rPr>
                <w:b/>
              </w:rPr>
              <w:t>Awards:</w:t>
            </w:r>
            <w:r>
              <w:rPr/>
              <w:br/>
            </w:r>
            <w:r>
              <w:rPr>
                <w:b/>
              </w:rPr>
              <w:t>Number of</w:t>
            </w:r>
            <w:r>
              <w:rPr/>
              <w:br/>
            </w:r>
            <w:r>
              <w:rPr>
                <w:b/>
              </w:rPr>
              <w:t>Securities</w:t>
            </w:r>
            <w:r>
              <w:rPr/>
              <w:br/>
            </w:r>
            <w:r>
              <w:rPr>
                <w:b/>
              </w:rPr>
              <w:t>Underlying</w:t>
            </w:r>
            <w:r>
              <w:rPr/>
              <w:br/>
            </w:r>
            <w:r>
              <w:rPr>
                <w:b/>
              </w:rPr>
              <w:t>Options</w:t>
            </w:r>
            <w:r>
              <w:rPr/>
              <w:br/>
            </w:r>
            <w:r>
              <w:rPr>
                <w:b/>
              </w:rPr>
              <w:t>(#)(2)</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8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Exercise</w:t>
            </w:r>
            <w:r>
              <w:rPr/>
              <w:br/>
            </w:r>
            <w:r>
              <w:rPr>
                <w:b/>
              </w:rPr>
              <w:t>or Base</w:t>
            </w:r>
            <w:r>
              <w:rPr/>
              <w:br/>
            </w:r>
            <w:r>
              <w:rPr>
                <w:b/>
              </w:rPr>
              <w:t>Price of</w:t>
            </w:r>
            <w:r>
              <w:rPr/>
              <w:br/>
            </w:r>
            <w:r>
              <w:rPr>
                <w:b/>
              </w:rPr>
              <w:t>Option</w:t>
            </w:r>
            <w:r>
              <w:rPr/>
              <w:br/>
            </w:r>
            <w:r>
              <w:rPr>
                <w:b/>
              </w:rPr>
              <w:t>Awards</w:t>
            </w:r>
            <w:r>
              <w:rPr/>
              <w:br/>
            </w:r>
            <w:r>
              <w:rPr>
                <w:b/>
              </w:rPr>
              <w:t>($)(2)</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Grant Date</w:t>
            </w:r>
            <w:r>
              <w:rPr/>
              <w:br/>
            </w:r>
            <w:r>
              <w:rPr>
                <w:b/>
              </w:rPr>
              <w:t>Fair Value</w:t>
            </w:r>
            <w:r>
              <w:rPr/>
              <w:br/>
            </w:r>
            <w:r>
              <w:rPr>
                <w:b/>
              </w:rPr>
              <w:t>of Stock</w:t>
            </w:r>
            <w:r>
              <w:rPr/>
              <w:br/>
            </w:r>
            <w:r>
              <w:rPr>
                <w:b/>
              </w:rPr>
              <w:t>and</w:t>
            </w:r>
            <w:r>
              <w:rPr/>
              <w:br/>
            </w:r>
            <w:r>
              <w:rPr>
                <w:b/>
              </w:rPr>
              <w:t>Option</w:t>
            </w:r>
            <w:r>
              <w:rPr/>
              <w:br/>
            </w:r>
            <w:r>
              <w:rPr>
                <w:b/>
              </w:rPr>
              <w:t>Awards</w:t>
            </w:r>
            <w:r>
              <w:rPr/>
              <w:br/>
            </w:r>
            <w:r>
              <w:rPr>
                <w:b/>
              </w:rPr>
              <w:t>($)(3)</w:t>
            </w:r>
          </w:p>
        </w:tc>
        <w:tc>
          <w:tcPr>
            <w:tcW w:w="60" w:type="dxa"/>
            <w:vMerge w:val="restart"/>
            <w:tcBorders/>
            <w:vAlign w:val="bottom"/>
          </w:tcPr>
          <w:p>
            <w:pPr>
              <w:pStyle w:val="TableContents"/>
              <w:bidi w:val="0"/>
              <w:spacing w:before="0" w:after="283"/>
              <w:jc w:val="left"/>
              <w:rPr/>
            </w:pPr>
            <w:r>
              <w:rPr/>
              <w:t> </w:t>
            </w:r>
          </w:p>
        </w:tc>
      </w:tr>
      <w:tr>
        <w:trPr/>
        <w:tc>
          <w:tcPr>
            <w:tcW w:w="8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63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Type of</w:t>
            </w:r>
          </w:p>
          <w:p>
            <w:pPr>
              <w:pStyle w:val="TableContents"/>
              <w:bidi w:val="0"/>
              <w:spacing w:before="0" w:after="20"/>
              <w:jc w:val="center"/>
              <w:rPr>
                <w:rFonts w:ascii="Times New Roman" w:hAnsi="Times New Roman"/>
                <w:b/>
                <w:sz w:val="16"/>
              </w:rPr>
            </w:pPr>
            <w:r>
              <w:rPr>
                <w:rFonts w:ascii="Times New Roman" w:hAnsi="Times New Roman"/>
                <w:b/>
                <w:sz w:val="16"/>
              </w:rPr>
              <w:t>Award</w:t>
            </w:r>
          </w:p>
        </w:tc>
        <w:tc>
          <w:tcPr>
            <w:tcW w:w="12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b/>
              </w:rPr>
              <w:t>Grant</w:t>
            </w:r>
            <w:r>
              <w:rPr/>
              <w:br/>
            </w:r>
            <w:r>
              <w:rPr>
                <w:b/>
              </w:rP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Threshold</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Target</w:t>
            </w:r>
            <w:r>
              <w:rPr/>
              <w:br/>
            </w:r>
            <w:r>
              <w:rPr>
                <w:b/>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04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175"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875"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04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2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ACIP</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302,497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1,209,987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1,814,981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12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ACIP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116,096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464,384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696,575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Time</w:t>
            </w:r>
          </w:p>
          <w:p>
            <w:pPr>
              <w:pStyle w:val="TableContents"/>
              <w:bidi w:val="0"/>
              <w:spacing w:before="0" w:after="0"/>
              <w:jc w:val="left"/>
              <w:rPr>
                <w:rFonts w:ascii="Times New Roman" w:hAnsi="Times New Roman"/>
                <w:sz w:val="20"/>
              </w:rPr>
            </w:pPr>
            <w:r>
              <w:rPr>
                <w:rFonts w:ascii="Times New Roman" w:hAnsi="Times New Roman"/>
                <w:sz w:val="20"/>
              </w:rPr>
              <w:t>Class C</w:t>
            </w:r>
          </w:p>
          <w:p>
            <w:pPr>
              <w:pStyle w:val="TableContents"/>
              <w:bidi w:val="0"/>
              <w:spacing w:before="0" w:after="20"/>
              <w:jc w:val="left"/>
              <w:rPr>
                <w:rFonts w:ascii="Times New Roman" w:hAnsi="Times New Roman"/>
                <w:sz w:val="20"/>
              </w:rPr>
            </w:pPr>
            <w:r>
              <w:rPr>
                <w:rFonts w:ascii="Times New Roman" w:hAnsi="Times New Roman"/>
                <w:sz w:val="20"/>
              </w:rPr>
              <w:t>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01/27/25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39,000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2,104,440</w:t>
            </w:r>
          </w:p>
        </w:tc>
        <w:tc>
          <w:tcPr>
            <w:tcW w:w="60"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12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ACIP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92,640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370,558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555,837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2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ACIP</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107,516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430,062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645,093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12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ACIP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89,634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358,536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537,804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2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ACIP</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91,248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364,994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547,490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the Threshold column reflect the amount of cash payable if the threshold level of performance is achieved, which is 25% of the target amount shown in the Target column. The amount shown in the Maximum column is 150% of such target amount shown in the Target column.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 3 to the Summary Compensation Table and “—Pre-IPO Equity-Based Compensation” for description of Class C Units.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awards granted in 2025 of $53.96 per Time Unit, computed in accordance with ASC 718, excluding forfeiture assumptions.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2025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concerning outstanding Class C Units and unvested Class A Units held by our NEOs at December 31, 2025. </w:t>
      </w:r>
    </w:p>
    <w:p>
      <w:pPr>
        <w:pStyle w:val="TextBody"/>
        <w:bidi w:val="0"/>
        <w:spacing w:before="0" w:after="0"/>
        <w:jc w:val="left"/>
        <w:rPr/>
      </w:pPr>
      <w:r>
        <w:rPr/>
        <w:t> </w:t>
      </w:r>
    </w:p>
    <w:tbl>
      <w:tblPr>
        <w:tblW w:w="10800" w:type="dxa"/>
        <w:jc w:val="center"/>
        <w:tblInd w:w="0" w:type="dxa"/>
        <w:tblLayout w:type="fixed"/>
        <w:tblCellMar>
          <w:top w:w="0" w:type="dxa"/>
          <w:left w:w="0" w:type="dxa"/>
          <w:bottom w:w="0" w:type="dxa"/>
          <w:right w:w="0" w:type="dxa"/>
        </w:tblCellMar>
      </w:tblPr>
      <w:tblGrid>
        <w:gridCol w:w="1550"/>
        <w:gridCol w:w="120"/>
        <w:gridCol w:w="60"/>
        <w:gridCol w:w="860"/>
        <w:gridCol w:w="60"/>
        <w:gridCol w:w="120"/>
        <w:gridCol w:w="72"/>
        <w:gridCol w:w="1193"/>
        <w:gridCol w:w="60"/>
        <w:gridCol w:w="120"/>
        <w:gridCol w:w="87"/>
        <w:gridCol w:w="1433"/>
        <w:gridCol w:w="60"/>
        <w:gridCol w:w="120"/>
        <w:gridCol w:w="105"/>
        <w:gridCol w:w="770"/>
        <w:gridCol w:w="60"/>
        <w:gridCol w:w="120"/>
        <w:gridCol w:w="72"/>
        <w:gridCol w:w="1043"/>
        <w:gridCol w:w="60"/>
        <w:gridCol w:w="120"/>
        <w:gridCol w:w="76"/>
        <w:gridCol w:w="1099"/>
        <w:gridCol w:w="60"/>
        <w:gridCol w:w="120"/>
        <w:gridCol w:w="140"/>
        <w:gridCol w:w="980"/>
        <w:gridCol w:w="60"/>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Exercisable(1)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Unexercisable(1)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Exercise</w:t>
            </w:r>
            <w:r>
              <w:rPr/>
              <w:br/>
            </w:r>
            <w:r>
              <w:rPr>
                <w:b/>
              </w:rPr>
              <w:t>Price</w:t>
            </w:r>
            <w:r>
              <w:rPr/>
              <w:br/>
            </w:r>
            <w:r>
              <w:rPr>
                <w:b/>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Expiration</w:t>
            </w:r>
            <w:r>
              <w:rPr/>
              <w:br/>
            </w:r>
            <w:r>
              <w:rPr>
                <w:b/>
              </w:rPr>
              <w:t>Date(1)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Market</w:t>
            </w:r>
            <w:r>
              <w:rPr/>
              <w:br/>
            </w:r>
            <w:r>
              <w:rPr>
                <w:b/>
              </w:rPr>
              <w:t>value of</w:t>
            </w:r>
            <w:r>
              <w:rPr/>
              <w:br/>
            </w:r>
            <w:r>
              <w:rPr>
                <w:b/>
              </w:rPr>
              <w:t>shares or</w:t>
            </w:r>
            <w:r>
              <w:rPr/>
              <w:br/>
            </w:r>
            <w:r>
              <w:rPr>
                <w:b/>
              </w:rPr>
              <w:t>units of</w:t>
            </w:r>
            <w:r>
              <w:rPr/>
              <w:br/>
            </w:r>
            <w:r>
              <w:rPr>
                <w:b/>
              </w:rPr>
              <w:t>stock that</w:t>
            </w:r>
            <w:r>
              <w:rPr/>
              <w:br/>
            </w:r>
            <w:r>
              <w:rPr>
                <w:b/>
              </w:rPr>
              <w:t>have not</w:t>
            </w:r>
            <w:r>
              <w:rPr/>
              <w:br/>
            </w:r>
            <w:r>
              <w:rPr>
                <w:b/>
              </w:rPr>
              <w:t>vested ($)(2)</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20,631.00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5,158.96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25,789.96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17,193.30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01/27/25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39,000.00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01/27/35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7,634.00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1,909.31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9,543.31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6,362.20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2,900.00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11,600.00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14,500.00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Class A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2,139.95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53,498.75</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4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11,605.00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2,901.46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14,506.46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9,670.98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4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5,732.00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1,433.38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7,165.38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4,776.92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 3 to the Summary Compensation Table and “—Pre-IPO Equity-Based Compensation” for description of Class C Units.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Restricted Class A Units of SOLV Energy Parent Holdings LP, calculated at the IPO price of $25.00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Options Exercised and Stock Vested </w:t>
      </w:r>
    </w:p>
    <w:p>
      <w:pPr>
        <w:pStyle w:val="TextBody"/>
        <w:bidi w:val="0"/>
        <w:spacing w:before="120" w:after="0"/>
        <w:jc w:val="left"/>
        <w:rPr>
          <w:rFonts w:ascii="Times New Roman" w:hAnsi="Times New Roman"/>
          <w:sz w:val="20"/>
        </w:rPr>
      </w:pPr>
      <w:r>
        <w:rPr>
          <w:rFonts w:ascii="Times New Roman" w:hAnsi="Times New Roman"/>
          <w:sz w:val="20"/>
        </w:rPr>
        <w:t xml:space="preserve">In 2025, 5,157 Time Units, 1,908 Time Units, 2,900 Time Units, 2,901 Time Units and 1,433 Time Units vested for Mr. Hershman, Mr. Catalano, Mr. Deters, Mr. Grubb, Jr. and Mr. Johnson,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under “—Employment Agreement with our Chief Executive Officer” and “—Severance Agreements,” the Hershman Employment Agreement and the Severance Agreements provide for certain severance payments in connection with Messrs. Hershman, Plotkin, Grubb and Catalano’s respective terminations under certain circumstances. Additionally, each of the NEOs’ Class C Unit award agreements provide for the acceleration of vesting of all Class C Units upon the consummation of a “Transaction,” subject to the NEO’s continued employment through such Transaction; provided, that the acceleration of vesting of certain Class C Units is also conditioned upon the achievement of a specified return on invested capital for certain holders of Class A Units of SOLV Energy Parent Holdings LP. A “Transaction” has the meaning described above under “—Pre-IPO Equity-Based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Potential Payment Summary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reflects the amount of compensation payable to our NEOs in the event of termination of the executive’s employment for various reasons or a termination following a change in control. The table does not include amounts payable that would be made to NEOs under benefit plans or employment terms generally available to other salaried employees, such as group life or disability insurance, accrued but unpaid salary or payments under our annual incentive plan, which are earned if the NEO works through the end of the relevant year. In the event of the death or disability of a NEO, the NEO will receive benefits under our disability plan or payments under our life insurance plan, as applicable; provided, that Mr. Hershman will also receive the benefits set forth above under “—Employment Agreement with our Chief Executive Officer.” The payments under our disability plan and life insurance plan are generally available to all employees and are therefore not included in the below table. Other than with respect to the Class C Units described above, we do not provide our NEOs with other payments that are payable on a change in control. The amounts shown assume that a termination of employment and/or a change in control occurred on December 31,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103"/>
        <w:gridCol w:w="155"/>
        <w:gridCol w:w="2609"/>
        <w:gridCol w:w="155"/>
        <w:gridCol w:w="266"/>
        <w:gridCol w:w="1869"/>
        <w:gridCol w:w="60"/>
        <w:gridCol w:w="155"/>
        <w:gridCol w:w="266"/>
        <w:gridCol w:w="1869"/>
        <w:gridCol w:w="65"/>
      </w:tblGrid>
      <w:tr>
        <w:trPr/>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1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55" w:type="dxa"/>
            <w:tcBorders/>
            <w:vAlign w:val="bottom"/>
          </w:tcPr>
          <w:p>
            <w:pPr>
              <w:pStyle w:val="TableContents"/>
              <w:bidi w:val="0"/>
              <w:spacing w:before="0" w:after="283"/>
              <w:jc w:val="left"/>
              <w:rPr/>
            </w:pPr>
            <w:r>
              <w:rPr/>
              <w:t>  </w:t>
            </w:r>
          </w:p>
        </w:tc>
        <w:tc>
          <w:tcPr>
            <w:tcW w:w="26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Payments upon Termination</w:t>
            </w:r>
          </w:p>
        </w:tc>
        <w:tc>
          <w:tcPr>
            <w:tcW w:w="155"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pPr>
            <w:r>
              <w:rPr>
                <w:b/>
              </w:rPr>
              <w:t>Termination without</w:t>
            </w:r>
            <w:r>
              <w:rPr/>
              <w:br/>
            </w:r>
            <w:r>
              <w:rPr>
                <w:b/>
              </w:rPr>
              <w:t>Cause &amp; without</w:t>
            </w:r>
            <w:r>
              <w:rPr/>
              <w:br/>
            </w:r>
            <w:r>
              <w:rPr>
                <w:b/>
              </w:rPr>
              <w:t>Change in Control</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pPr>
            <w:r>
              <w:rPr>
                <w:b/>
              </w:rPr>
              <w:t>Termination without</w:t>
            </w:r>
            <w:r>
              <w:rPr/>
              <w:br/>
            </w:r>
            <w:r>
              <w:rPr>
                <w:b/>
              </w:rPr>
              <w:t>Cause following</w:t>
            </w:r>
            <w:r>
              <w:rPr/>
              <w:br/>
            </w:r>
            <w:r>
              <w:rPr>
                <w:b/>
              </w:rPr>
              <w:t>Change in Control</w:t>
            </w:r>
          </w:p>
        </w:tc>
        <w:tc>
          <w:tcPr>
            <w:tcW w:w="65" w:type="dxa"/>
            <w:tcBorders/>
            <w:vAlign w:val="bottom"/>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Severance</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609,960</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609,960</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Acceleration of Awards(1)</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1,203,556</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1,203,556</w:t>
            </w:r>
          </w:p>
        </w:tc>
        <w:tc>
          <w:tcPr>
            <w:tcW w:w="65" w:type="dxa"/>
            <w:tcBorders/>
            <w:vAlign w:val="bottom"/>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Health Benefits</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50,401</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50,401</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Total</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1,863,917</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1,863,917</w:t>
            </w:r>
          </w:p>
        </w:tc>
        <w:tc>
          <w:tcPr>
            <w:tcW w:w="65" w:type="dxa"/>
            <w:tcBorders/>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Severance</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500,000</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Acceleration of Awards(1)</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975,000</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975,000</w:t>
            </w:r>
          </w:p>
        </w:tc>
        <w:tc>
          <w:tcPr>
            <w:tcW w:w="65" w:type="dxa"/>
            <w:tcBorders/>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Total</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1,475,000</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1,475,000</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Severance</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396,960</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396,960</w:t>
            </w:r>
          </w:p>
        </w:tc>
        <w:tc>
          <w:tcPr>
            <w:tcW w:w="65" w:type="dxa"/>
            <w:tcBorders/>
            <w:vAlign w:val="bottom"/>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Acceleration of Awards(1)</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445,371</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445,371</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Total</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842,331</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842,331</w:t>
            </w:r>
          </w:p>
        </w:tc>
        <w:tc>
          <w:tcPr>
            <w:tcW w:w="65" w:type="dxa"/>
            <w:tcBorders/>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Acceleration of Awards(1)</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955,999</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955,999</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Total</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955,999</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955,999</w:t>
            </w:r>
          </w:p>
        </w:tc>
        <w:tc>
          <w:tcPr>
            <w:tcW w:w="65" w:type="dxa"/>
            <w:tcBorders/>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Severance</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363,502</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363,502</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Acceleration of Awards(1)</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676,973</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676,973</w:t>
            </w:r>
          </w:p>
        </w:tc>
        <w:tc>
          <w:tcPr>
            <w:tcW w:w="65" w:type="dxa"/>
            <w:tcBorders/>
            <w:vAlign w:val="bottom"/>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Health Benefits</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42,256</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42,256</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Total</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1,082,731</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1,082,731</w:t>
            </w:r>
          </w:p>
        </w:tc>
        <w:tc>
          <w:tcPr>
            <w:tcW w:w="65" w:type="dxa"/>
            <w:tcBorders/>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55" w:type="dxa"/>
            <w:tcBorders/>
            <w:shd w:fill="CCEEFF" w:val="clear"/>
            <w:vAlign w:val="bottom"/>
          </w:tcPr>
          <w:p>
            <w:pPr>
              <w:pStyle w:val="TableContents"/>
              <w:bidi w:val="0"/>
              <w:spacing w:before="0" w:after="283"/>
              <w:jc w:val="left"/>
              <w:rPr/>
            </w:pPr>
            <w:r>
              <w:rPr/>
              <w:t>  </w:t>
            </w:r>
          </w:p>
        </w:tc>
        <w:tc>
          <w:tcPr>
            <w:tcW w:w="2609" w:type="dxa"/>
            <w:tcBorders/>
            <w:shd w:fill="CCEEFF" w:val="clear"/>
            <w:vAlign w:val="bottom"/>
          </w:tcPr>
          <w:p>
            <w:pPr>
              <w:pStyle w:val="TableContents"/>
              <w:bidi w:val="0"/>
              <w:spacing w:before="0" w:after="283"/>
              <w:jc w:val="left"/>
              <w:rPr/>
            </w:pPr>
            <w:r>
              <w:rPr/>
              <w:t>Acceleration of Awards(1)</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334,392</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869" w:type="dxa"/>
            <w:tcBorders/>
            <w:shd w:fill="CCEEFF" w:val="clear"/>
            <w:vAlign w:val="bottom"/>
          </w:tcPr>
          <w:p>
            <w:pPr>
              <w:pStyle w:val="TableContents"/>
              <w:bidi w:val="0"/>
              <w:spacing w:before="0" w:after="283"/>
              <w:jc w:val="right"/>
              <w:rPr/>
            </w:pPr>
            <w:r>
              <w:rPr/>
              <w:t>334,392</w:t>
            </w:r>
          </w:p>
        </w:tc>
        <w:tc>
          <w:tcPr>
            <w:tcW w:w="65" w:type="dxa"/>
            <w:tcBorders/>
            <w:shd w:fill="CCEEFF" w:val="clear"/>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103" w:type="dxa"/>
            <w:tcBorders/>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pPr>
            <w:r>
              <w:rPr/>
              <w:t>Total</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334,392</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869" w:type="dxa"/>
            <w:tcBorders/>
            <w:vAlign w:val="bottom"/>
          </w:tcPr>
          <w:p>
            <w:pPr>
              <w:pStyle w:val="TableContents"/>
              <w:bidi w:val="0"/>
              <w:spacing w:before="0" w:after="283"/>
              <w:jc w:val="right"/>
              <w:rPr/>
            </w:pPr>
            <w:r>
              <w:rPr/>
              <w:t>334,392</w:t>
            </w:r>
          </w:p>
        </w:tc>
        <w:tc>
          <w:tcPr>
            <w:tcW w:w="65" w:type="dxa"/>
            <w:tcBorders/>
            <w:vAlign w:val="bottom"/>
          </w:tcPr>
          <w:p>
            <w:pPr>
              <w:pStyle w:val="TableContents"/>
              <w:bidi w:val="0"/>
              <w:spacing w:before="0" w:after="283"/>
              <w:jc w:val="left"/>
              <w:rPr/>
            </w:pPr>
            <w:r>
              <w:rPr/>
              <w:t> </w:t>
            </w:r>
          </w:p>
        </w:tc>
      </w:tr>
      <w:tr>
        <w:trPr/>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48,142.22 unvested Class C Units, 39,000 unvested Class C Units, 17,814.82 unvested Class C Units, 2,139.95 restricted Class A Units and 36,100 unvested Class C Units, 27,078.90 unvested Class C Units, and 13,375.68 unvested Class C Units held by Mr. Hershman, Mr. Plotkin, Mr. Catalano, Mr. Deters, Mr. Grubb, and Mr. Johnson, respectively, calculated at the IPO price of $25.00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non-employee directors of SOLV Energy Holdings LLC for 2025. Any director who is an employee receives no additional compensation for services as a director or as a member of a committee of our board of managers. We also reimburse our non-employee directors for their travel and other reasonable expenses incurred in attending meetings of our board of managers and committees of the board of managers. We plan to adopt a non-employee director compensation program pursuant to which our non-employee directors will generally be eligible to receive annual cash retainers and equity awards for service on our board of directors and committees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865"/>
        <w:gridCol w:w="236"/>
        <w:gridCol w:w="105"/>
        <w:gridCol w:w="1240"/>
        <w:gridCol w:w="60"/>
        <w:gridCol w:w="236"/>
        <w:gridCol w:w="115"/>
        <w:gridCol w:w="1352"/>
        <w:gridCol w:w="60"/>
        <w:gridCol w:w="236"/>
        <w:gridCol w:w="195"/>
        <w:gridCol w:w="1280"/>
        <w:gridCol w:w="60"/>
        <w:gridCol w:w="235"/>
        <w:gridCol w:w="60"/>
        <w:gridCol w:w="804"/>
        <w:gridCol w:w="66"/>
      </w:tblGrid>
      <w:tr>
        <w:trPr/>
        <w:tc>
          <w:tcPr>
            <w:tcW w:w="3865"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8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36"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pPr>
            <w:r>
              <w:rPr>
                <w:b/>
              </w:rPr>
              <w:t>Fees Earned</w:t>
            </w:r>
            <w:r>
              <w:rPr/>
              <w:br/>
            </w:r>
            <w:r>
              <w:rPr>
                <w:b/>
              </w:rPr>
              <w:t>or Paid in</w:t>
              <w:br/>
              <w:t>Cash ($)(1)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r>
            <w:r>
              <w:rPr/>
              <w:br/>
            </w:r>
            <w:r>
              <w:rPr>
                <w:b/>
              </w:rPr>
              <w:t>Awards ($)(2)</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Awards ($)(3)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6" w:type="dxa"/>
            <w:tcBorders/>
            <w:vAlign w:val="bottom"/>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S. Penn</w:t>
            </w:r>
          </w:p>
        </w:tc>
        <w:tc>
          <w:tcPr>
            <w:tcW w:w="2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865" w:type="dxa"/>
            <w:tcBorders/>
          </w:tcPr>
          <w:p>
            <w:pPr>
              <w:pStyle w:val="TableContents"/>
              <w:bidi w:val="0"/>
              <w:spacing w:before="0" w:after="0"/>
              <w:jc w:val="left"/>
              <w:rPr>
                <w:rFonts w:ascii="Times New Roman" w:hAnsi="Times New Roman"/>
                <w:sz w:val="20"/>
              </w:rPr>
            </w:pPr>
            <w:r>
              <w:rPr>
                <w:rFonts w:ascii="Times New Roman" w:hAnsi="Times New Roman"/>
                <w:sz w:val="20"/>
              </w:rPr>
              <w:t>Michael Sand</w:t>
            </w:r>
          </w:p>
        </w:tc>
        <w:tc>
          <w:tcPr>
            <w:tcW w:w="2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Portnoy</w:t>
            </w:r>
          </w:p>
        </w:tc>
        <w:tc>
          <w:tcPr>
            <w:tcW w:w="2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865" w:type="dxa"/>
            <w:tcBorders/>
          </w:tcPr>
          <w:p>
            <w:pPr>
              <w:pStyle w:val="TableContents"/>
              <w:bidi w:val="0"/>
              <w:spacing w:before="0" w:after="0"/>
              <w:jc w:val="left"/>
              <w:rPr>
                <w:rFonts w:ascii="Times New Roman" w:hAnsi="Times New Roman"/>
                <w:sz w:val="20"/>
              </w:rPr>
            </w:pPr>
            <w:r>
              <w:rPr>
                <w:rFonts w:ascii="Times New Roman" w:hAnsi="Times New Roman"/>
                <w:sz w:val="20"/>
              </w:rPr>
              <w:t>Adam Abram</w:t>
            </w:r>
          </w:p>
        </w:tc>
        <w:tc>
          <w:tcPr>
            <w:tcW w:w="2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125,000</w:t>
            </w:r>
          </w:p>
        </w:tc>
        <w:tc>
          <w:tcPr>
            <w:tcW w:w="66" w:type="dxa"/>
            <w:tcBorders/>
            <w:vAlign w:val="bottom"/>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Lerner</w:t>
            </w:r>
          </w:p>
        </w:tc>
        <w:tc>
          <w:tcPr>
            <w:tcW w:w="2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125,000</w:t>
            </w:r>
          </w:p>
        </w:tc>
        <w:tc>
          <w:tcPr>
            <w:tcW w:w="66" w:type="dxa"/>
            <w:tcBorders/>
            <w:shd w:fill="CCEEFF" w:val="clear"/>
            <w:vAlign w:val="bottom"/>
          </w:tcPr>
          <w:p>
            <w:pPr>
              <w:pStyle w:val="TableContents"/>
              <w:bidi w:val="0"/>
              <w:spacing w:before="0" w:after="283"/>
              <w:jc w:val="left"/>
              <w:rPr/>
            </w:pPr>
            <w:r>
              <w:rPr/>
              <w:t> </w:t>
            </w:r>
          </w:p>
        </w:tc>
      </w:tr>
      <w:tr>
        <w:trPr/>
        <w:tc>
          <w:tcPr>
            <w:tcW w:w="3865" w:type="dxa"/>
            <w:tcBorders/>
          </w:tcPr>
          <w:p>
            <w:pPr>
              <w:pStyle w:val="TableContents"/>
              <w:bidi w:val="0"/>
              <w:spacing w:before="0" w:after="0"/>
              <w:jc w:val="left"/>
              <w:rPr>
                <w:rFonts w:ascii="Times New Roman" w:hAnsi="Times New Roman"/>
                <w:sz w:val="20"/>
              </w:rPr>
            </w:pPr>
            <w:r>
              <w:rPr>
                <w:rFonts w:ascii="Times New Roman" w:hAnsi="Times New Roman"/>
                <w:sz w:val="20"/>
              </w:rPr>
              <w:t>Laura Stern</w:t>
            </w:r>
          </w:p>
        </w:tc>
        <w:tc>
          <w:tcPr>
            <w:tcW w:w="2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125,000</w:t>
            </w:r>
          </w:p>
        </w:tc>
        <w:tc>
          <w:tcPr>
            <w:tcW w:w="66" w:type="dxa"/>
            <w:tcBorders/>
            <w:vAlign w:val="bottom"/>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Jackson</w:t>
            </w:r>
          </w:p>
        </w:tc>
        <w:tc>
          <w:tcPr>
            <w:tcW w:w="2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125,000</w:t>
            </w:r>
          </w:p>
        </w:tc>
        <w:tc>
          <w:tcPr>
            <w:tcW w:w="66" w:type="dxa"/>
            <w:tcBorders/>
            <w:shd w:fill="CCEEFF" w:val="clear"/>
            <w:vAlign w:val="bottom"/>
          </w:tcPr>
          <w:p>
            <w:pPr>
              <w:pStyle w:val="TableContents"/>
              <w:bidi w:val="0"/>
              <w:spacing w:before="0" w:after="283"/>
              <w:jc w:val="left"/>
              <w:rPr/>
            </w:pPr>
            <w:r>
              <w:rPr/>
              <w:t> </w:t>
            </w:r>
          </w:p>
        </w:tc>
      </w:tr>
      <w:tr>
        <w:trPr/>
        <w:tc>
          <w:tcPr>
            <w:tcW w:w="3865" w:type="dxa"/>
            <w:tcBorders/>
          </w:tcPr>
          <w:p>
            <w:pPr>
              <w:pStyle w:val="TableContents"/>
              <w:bidi w:val="0"/>
              <w:spacing w:before="0" w:after="0"/>
              <w:jc w:val="left"/>
              <w:rPr>
                <w:rFonts w:ascii="Times New Roman" w:hAnsi="Times New Roman"/>
                <w:sz w:val="20"/>
              </w:rPr>
            </w:pPr>
            <w:r>
              <w:rPr>
                <w:rFonts w:ascii="Times New Roman" w:hAnsi="Times New Roman"/>
                <w:sz w:val="20"/>
              </w:rPr>
              <w:t>Nancy Stefanowicz</w:t>
            </w:r>
          </w:p>
        </w:tc>
        <w:tc>
          <w:tcPr>
            <w:tcW w:w="23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125,000</w:t>
            </w:r>
          </w:p>
        </w:tc>
        <w:tc>
          <w:tcPr>
            <w:tcW w:w="66" w:type="dxa"/>
            <w:tcBorders/>
            <w:vAlign w:val="bottom"/>
          </w:tcPr>
          <w:p>
            <w:pPr>
              <w:pStyle w:val="TableContents"/>
              <w:bidi w:val="0"/>
              <w:spacing w:before="0" w:after="283"/>
              <w:jc w:val="left"/>
              <w:rPr/>
            </w:pPr>
            <w:r>
              <w:rPr/>
              <w:t> </w:t>
            </w:r>
          </w:p>
        </w:tc>
      </w:tr>
      <w:tr>
        <w:trPr/>
        <w:tc>
          <w:tcPr>
            <w:tcW w:w="3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McQuade</w:t>
            </w:r>
          </w:p>
        </w:tc>
        <w:tc>
          <w:tcPr>
            <w:tcW w:w="23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125,000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2025, directors who were affiliated with American Securities did not receive any fees or other compensation for their services on our board of managers.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($50,000) of awards of Class A Units of SOLV Energy Parent Holdings LP granted to each of Mr. Abram, Mr. Lerner, Ms. Stern, Mr. Jackson, Ms. Stefanowicz and Mr. McQuade during the year ended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each of Mr. Abram, Mr. Lerner, Ms. Stern, Mr. Jackson, Ms. Stefanowicz and Mr. McQuade held 1,000 Time Units.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Report of the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has discussed and reviewed with management the Compensation Discussion and Analysis for the year ended December 31, 2025 set forth above. Based on this review and discussion, the Compensation Committee recommended to our Board that the Compensation Discussion and Analysis be included in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This report is respectfully submitted by the Compensation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Michael Sand, Chair </w:t>
      </w:r>
    </w:p>
    <w:p>
      <w:pPr>
        <w:pStyle w:val="TextBody"/>
        <w:bidi w:val="0"/>
        <w:spacing w:before="0" w:after="0"/>
        <w:jc w:val="left"/>
        <w:rPr>
          <w:rFonts w:ascii="Times New Roman" w:hAnsi="Times New Roman"/>
          <w:sz w:val="20"/>
        </w:rPr>
      </w:pPr>
      <w:r>
        <w:rPr>
          <w:rFonts w:ascii="Times New Roman" w:hAnsi="Times New Roman"/>
          <w:sz w:val="20"/>
        </w:rPr>
        <w:t xml:space="preserve">Nancy Stefanowicz </w:t>
      </w:r>
    </w:p>
    <w:p>
      <w:pPr>
        <w:pStyle w:val="TextBody"/>
        <w:bidi w:val="0"/>
        <w:spacing w:before="0" w:after="0"/>
        <w:jc w:val="left"/>
        <w:rPr>
          <w:rFonts w:ascii="Times New Roman" w:hAnsi="Times New Roman"/>
          <w:sz w:val="20"/>
        </w:rPr>
      </w:pPr>
      <w:r>
        <w:rPr>
          <w:rFonts w:ascii="Times New Roman" w:hAnsi="Times New Roman"/>
          <w:sz w:val="20"/>
        </w:rPr>
        <w:t xml:space="preserve">Steven Lerner </w:t>
      </w:r>
    </w:p>
    <w:p>
      <w:pPr>
        <w:pStyle w:val="TextBody"/>
        <w:bidi w:val="0"/>
        <w:spacing w:before="0" w:after="0"/>
        <w:jc w:val="left"/>
        <w:rPr>
          <w:rFonts w:ascii="Times New Roman" w:hAnsi="Times New Roman"/>
          <w:sz w:val="20"/>
        </w:rPr>
      </w:pPr>
      <w:r>
        <w:rPr>
          <w:rFonts w:ascii="Times New Roman" w:hAnsi="Times New Roman"/>
          <w:sz w:val="20"/>
        </w:rPr>
        <w:t xml:space="preserve">William Jackson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bookmarkStart w:id="35" w:name="toc31834_19"/>
            <w:bookmarkEnd w:id="35"/>
            <w:r>
              <w:rPr>
                <w:b/>
              </w:rPr>
              <w:t>ITEM 12.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SECURITY OWNERSHIP OF CERTAIN BENEFICIAL OWNERS AND MANAGEMENT AND RELATED SHAREHOLDER MATTERS.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no equity compensation plans or individual compensation arrangements under which our equity securities were authorized for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Class A common stock and Class B common stock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us to beneficially own more than 5% of our Class A common stock or our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stockholder as described in this Annual Report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March 24, 2026, are considered outstanding, although these shares are not considered outstanding for purposes of computing the percentage ownership of any other person. The percentage ownership of each individual or entity is computed on the basis of 112,273,571 shares of our Class A common stock outstanding and 87,141,865 shares of our Class B common stock outstanding. Unless otherwise indicated, the address of all listed stockholders is 16680 West Bernardo Drive, San Diego, CA 92127. </w:t>
      </w:r>
    </w:p>
    <w:p>
      <w:pPr>
        <w:pStyle w:val="TextBody"/>
        <w:bidi w:val="0"/>
        <w:spacing w:before="240" w:after="0"/>
        <w:jc w:val="left"/>
        <w:rPr>
          <w:rFonts w:ascii="Times New Roman" w:hAnsi="Times New Roman"/>
          <w:sz w:val="20"/>
        </w:rPr>
      </w:pPr>
      <w:r>
        <w:rPr>
          <w:rFonts w:ascii="Times New Roman" w:hAnsi="Times New Roman"/>
          <w:sz w:val="20"/>
        </w:rPr>
        <w:t xml:space="preserve">Each of the stockholders listed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43"/>
        <w:gridCol w:w="152"/>
        <w:gridCol w:w="60"/>
        <w:gridCol w:w="1110"/>
        <w:gridCol w:w="60"/>
        <w:gridCol w:w="152"/>
        <w:gridCol w:w="137"/>
        <w:gridCol w:w="1009"/>
        <w:gridCol w:w="275"/>
        <w:gridCol w:w="95"/>
        <w:gridCol w:w="60"/>
        <w:gridCol w:w="1110"/>
        <w:gridCol w:w="60"/>
        <w:gridCol w:w="152"/>
        <w:gridCol w:w="137"/>
        <w:gridCol w:w="1009"/>
        <w:gridCol w:w="275"/>
        <w:gridCol w:w="95"/>
        <w:gridCol w:w="171"/>
        <w:gridCol w:w="1263"/>
        <w:gridCol w:w="280"/>
      </w:tblGrid>
      <w:tr>
        <w:trPr/>
        <w:tc>
          <w:tcPr>
            <w:tcW w:w="2543"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4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5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br/>
              <w:t>Beneficially Owned</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5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br/>
              <w:t>Beneficially Owned</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r>
          </w:p>
        </w:tc>
        <w:tc>
          <w:tcPr>
            <w:tcW w:w="280" w:type="dxa"/>
            <w:tcBorders/>
            <w:vAlign w:val="bottom"/>
          </w:tcPr>
          <w:p>
            <w:pPr>
              <w:pStyle w:val="TableContents"/>
              <w:bidi w:val="0"/>
              <w:spacing w:before="0" w:after="283"/>
              <w:jc w:val="left"/>
              <w:rPr/>
            </w:pPr>
            <w:r>
              <w:rPr/>
              <w:t> </w:t>
            </w:r>
          </w:p>
        </w:tc>
      </w:tr>
      <w:tr>
        <w:trPr/>
        <w:tc>
          <w:tcPr>
            <w:tcW w:w="25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52"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4" w:type="dxa"/>
            <w:gridSpan w:val="2"/>
            <w:tcBorders/>
            <w:vAlign w:val="bottom"/>
          </w:tcPr>
          <w:p>
            <w:pPr>
              <w:pStyle w:val="TableContents"/>
              <w:pBdr>
                <w:bottom w:val="single" w:sz="8" w:space="1" w:color="000000"/>
              </w:pBdr>
              <w:bidi w:val="0"/>
              <w:spacing w:before="0" w:after="0"/>
              <w:jc w:val="left"/>
              <w:rPr/>
            </w:pPr>
            <w:r>
              <w:rPr/>
              <w:t> </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63"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American Securities(1)</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91,773,571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79.6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57,838,430</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66.4</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73.9</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Holdings(2)</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25,164,146</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28.9</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12.4</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263"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Hershman(3)</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4,391,720</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2.2</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Plotkin(3)</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1,054,094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Catalano(3)</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1,229,448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Kevin Deters(3)</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1,322,451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Jr.(3)</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2,812,746</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Johnson(3)</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1,152,596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Sand(1)</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Kevin S. Penn(1)</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Portnoy(1)</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J. Adam Abram</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394,012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Lerner</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190,769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Laura Stern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73,559</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Jackson</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183,039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sz w:val="20"/>
              </w:rPr>
              <w:t>Daniel McQuade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36,874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Stefanowicz</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37,994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543"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All directors and executive officers as a group </w:t>
            </w:r>
            <w:r>
              <w:rPr>
                <w:rFonts w:ascii="Times New Roman" w:hAnsi="Times New Roman"/>
                <w:sz w:val="20"/>
              </w:rPr>
              <w:t>(19 persons)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13,275,526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of our outstanding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52,201 shares of Class A common stock and 14,993,744 LLC Interests owned directly by ASP Endeavor Investco LP (“ASP Investco”), 147,799 shares of Class A common stock and 42,844,686 LLC Interests owned directly by ASP SOLV Aggregator LP (“ASP SOLV Aggregator”) and 91,573,571 shares of Class A common stock owned directly by ASP VIII Alternative Investments Solstice, L.P. (“New ASP”). American Securities Partners VIII(B), L.P. (“Sponsor 1”), ASP VIII Alternative Investments L.P. (“Sponsor 2”) and AS/ASP VIII Co-Investor LLC (“Sponsor 3”) are the owners of partnership interests in ASP Investco and ASP SOLV Aggregator. American Securities Associates VIII, LLC (“AS Associates VIII”) is the general partner of Sponsor 1 and Sponsor 2. American Securities LLC (“AS LLC”) provides investment advisory services to Sponsor 1 and Sponsor 2. ASP VIII SOLV Holdings LP (“Aggregator 1”) and ASP VIII CSE Holdings LP (“Aggregator 2”) are the owners of the partnership interests in New ASP. AS LLC is also the sole stockholder of ASP Manager Corp. (“ASP Manager”), which is the general partner of ASP Investco, ASP SOLV Aggregator, Aggregator 1 and Aggregator 2 and the manager of Sponsor 3. The address for each of the entities described in this footnote is c/o American Securities LLC, 590 Madison Avenue, 38th Floor, New York, NY 10022. By virtue of their affiliation with American Securities, each of Messrs. Penn, Sand and Portnoy may be deemed to have or share beneficial ownership of all the securities beneficially owned by American Securities. Each of Messrs. Penn, Sand and Portnoy expressly disclaims beneficial ownership of such securities, except with respect to the securities in which such individual holds a pecuniary interest or which are held by such individual directly in their individual capacity and not as a result of such individual’s affiliation with American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Class B common stock held directly by Management Holdings. Management Holdings is an affiliate of, and controlled by, American Securities. All economic interests in Management Holdings are owned by Management Holders. American Securities does not own any of the economic interests in Management Holdings.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Class B common stock held directly by Management Holdings and attributable to such individual on a one-for-one basis with their interests in Management Holdings. Such individual is entitled to vote such shares of Class B common stock in accordance with the governing documents of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bookmarkStart w:id="36" w:name="toc31834_20"/>
            <w:bookmarkEnd w:id="36"/>
            <w:r>
              <w:rPr>
                <w:b/>
              </w:rPr>
              <w:t>ITEM 13.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RELATIONSHIPS AND RELATED TRANSACTIONS, AND DIRECTOR INDEPENDENCE.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are summaries of certain provisions of our related person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these agreements have been filed as exhibits to this Annual Report, and are available electronically on the website of the SEC at </w:t>
      </w:r>
      <w:r>
        <w:rPr>
          <w:rFonts w:ascii="Times New Roman" w:hAnsi="Times New Roman"/>
          <w:i/>
          <w:sz w:val="20"/>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we engaged in certain transactions with our Sponsor, certain of our directors, executive officers and other persons and entities which became holders of 5% or more of our voting securities upon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used the net proceeds that we received from the IPO to purchase 23,575,000 LLC Interests from SOLV Energy Holdings LLC at a price per LLC Interest equal to the IPO price of our Class A common stock,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turn, we caused SOLV Energy Holdings LLC to use the net proceeds it received from us in connection with the IPO to repay in full approximately $405.6 million of amounts due upon repayment under the Term Loans, and, with respect to the remainder, for general corporate purposes, which could include growth initiatives, including potential merger and acquisition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Our organizational structure, commonly referred to as an umbrella partnership-C corporation or an Up-C structure, provides potential future tax benefits to both us and the TRA Participants. The covered tax attributes described below may increase the tax deductions available to us or otherwise be available to reduce our taxable income, and, therefore, may reduce the amount of U.S. federal, state and local tax that we would otherwise be required to pay in the future. In connection with the Transactions, we entered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Transactions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Opco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subject to the discussion in the remainder of this summary. Any payments made by us to the TRA Participants under the Tax Receivable Agreement will generally reduce the amount of cash that might have otherwise been available to us for other uses and for the benefit of all of our stockholders. The IRS may challenge all or part of the validity of any tax basis or other covered tax attributes, and a court could sustain such a challenge. Actual tax benefits realized by us may differ from tax benefits calculated under the Tax Receivable Agreement as a result of the use of certain assumptions in the Tax Receivable Agreement, including those described in this summary.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payment obligations under the Tax Receivable Agreement will be obligations of ours and not obligations of SOLV Energy Holdings LLC. For purposes of the Tax Receivable Agreement, the cash tax benefits will be computed by comparing our actual income tax liability to the amount of income taxes that we would have been required to pay had no covered tax attributes existed and had we not entered into the Tax Receivable Agreement.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 payments under the Tax Receivable Agreement are not conditioned upon continued ownership of SOLV Energy Holdings LLC or us by the TRA Participants and will be assignable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IPO, we would be required to pay approximately $497.0 million over the fifteen-year period from the date of the IPO. However, estimating the amount of payments that may be made under the Tax Receivable Agreement is by its nature imprecise, insofar as the calculation of amounts payable depends on a variety of factors. Thus, the actual amounts we will be required to pay under the Tax Receivable Agreement and the actual amount of tax benefits we will actually recognize may be significantly different from the amounts described above. The actual covered tax attributes, as well as the amount and timing of any payments under the Tax Receivable Agreement, will vary depending upon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timing of future redemptions or exchanges</w:t>
            </w:r>
            <w:r>
              <w:rPr>
                <w:rFonts w:ascii="Times New Roman" w:hAnsi="Times New Roman"/>
                <w:sz w:val="20"/>
              </w:rPr>
              <w:t xml:space="preserve">—for instance, the increase in any tax deductions (and the availability of any other reduction to our taxable income) will vary depending on the fair market value, which may fluctuate over time, of the depreciable or amortizable assets of SOLV Energy Holdings LLC at the time of each redemption or exchange as well as the amount of tax basis at the time of such redemption or exchange or any subsequent capital contribution to SOLV Energy Holdings LLC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price of shares of our Class</w:t>
            </w:r>
            <w:r>
              <w:rPr>
                <w:rFonts w:ascii="Times New Roman" w:hAnsi="Times New Roman"/>
                <w:sz w:val="20"/>
              </w:rPr>
              <w:t> </w:t>
            </w:r>
            <w:r>
              <w:rPr>
                <w:rFonts w:ascii="Times New Roman" w:hAnsi="Times New Roman"/>
                <w:i/>
                <w:sz w:val="20"/>
              </w:rPr>
              <w:t>A common stock at the time of the redemption or exchange</w:t>
            </w:r>
            <w:r>
              <w:rPr>
                <w:rFonts w:ascii="Times New Roman" w:hAnsi="Times New Roman"/>
                <w:sz w:val="20"/>
              </w:rPr>
              <w:t xml:space="preserve">—the increase in any tax deductions, as well as the tax basis increase in other assets, of SOLV Energy Holdings LLC, is directly proportional to the price of shares of our Class A common stock at the time of the redemption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such redemptions or exchanges are taxable</w:t>
            </w:r>
            <w:r>
              <w:rPr>
                <w:rFonts w:ascii="Times New Roman" w:hAnsi="Times New Roman"/>
                <w:sz w:val="20"/>
              </w:rPr>
              <w:t xml:space="preserve">—if a redemption or an exchange is not taxable for any reason, increased deductions as a result of Basis Adjustments will not be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of (and any limitations on) Blocker Companies’ tax attributes</w:t>
            </w:r>
            <w:r>
              <w:rPr>
                <w:rFonts w:ascii="Times New Roman" w:hAnsi="Times New Roman"/>
                <w:sz w:val="20"/>
              </w:rPr>
              <w:t xml:space="preserve">—the amount of applicable tax attributes of the Blocker Companies at the time of the contributions of the Blocker Companies to us (and any limitations on the use of such tax attributes) will impact the amount and timing of payments under the Tax Receivable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changes in tax rates</w:t>
            </w:r>
            <w:r>
              <w:rPr>
                <w:rFonts w:ascii="Times New Roman" w:hAnsi="Times New Roman"/>
                <w:sz w:val="20"/>
              </w:rPr>
              <w:t xml:space="preserve">—payments under the Tax Receivable Agreement will be calculated using the actual U.S. federal income tax rate in effect for the applicable period and an assumed, weighted average state and local income tax rate based on apportionment factors for the applicable period, so changes in tax rates will impact the magnitude of cash tax benefits covered by the Tax Receivable Agreement and the amount of payments under the Tax Receivable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and timing of our income</w:t>
            </w:r>
            <w:r>
              <w:rPr>
                <w:rFonts w:ascii="Times New Roman" w:hAnsi="Times New Roman"/>
                <w:sz w:val="20"/>
              </w:rPr>
              <w:t xml:space="preserve">—we are obligated to pay 85% of the cash tax benefits under the Tax Receivable Agreement as and when realized. If we do not have taxable income, we are generally not required (absent a change of control or circumstances otherwise requiring an early termination payment) to make payments under the Tax Receivable Agreement for a taxable year in which it does not have taxable income because no cash tax benefits will have been realized. However, any covered tax attributes that do not result in realized benefits in a given tax year will likely generate tax attributes that may be utilized to generate benefits in future tax years (or prior years if a carryback is available). The utilization of such tax attributes will result in cash tax benefits that will result in payments under the Tax Receivable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a material negative effect on our liquidity if distributions to us by SOLV Energy Holdings LLC are not sufficient to permit us to make payments under the Tax Receivable Agreement after it has paid taxes and other expenses and/or if, as a result of timing discrepancies or otherwise (for example, an early termination or change of control), the payments under the Tax Receivable Agreement exceed the actual cash tax benefits that we realize in respect of the tax attributes subject to the Tax Receivable Agreement.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as described below. The Tax Receivable Agreement requires us to use commercially reasonable efforts to obtain sufficient available funds for the purpose of making payments under the Tax Receivable Agreement and avoid entering into any agreements that could be reasonably anticipated to materially delay the timing of the making of any such payments. We anticipate funding ordinary course payments under the Tax Receivable Agreement from cash flow from operations of Opco, available cash, or available borrowings under any future debt agreements. </w:t>
      </w:r>
    </w:p>
    <w:p>
      <w:pPr>
        <w:pStyle w:val="TextBody"/>
        <w:bidi w:val="0"/>
        <w:spacing w:before="240" w:after="0"/>
        <w:jc w:val="left"/>
        <w:rPr>
          <w:rFonts w:ascii="Times New Roman" w:hAnsi="Times New Roman"/>
          <w:sz w:val="20"/>
        </w:rPr>
      </w:pPr>
      <w:r>
        <w:rPr>
          <w:rFonts w:ascii="Times New Roman" w:hAnsi="Times New Roman"/>
          <w:sz w:val="20"/>
        </w:rPr>
        <w:t xml:space="preserve">Decisions made by us in the course of running our business, such as with respect to mergers, asset sales, other forms of business combinations, or other changes in control, may influence the timing and amount of payments we pay to a TRA Participant under the Tax Receivable Agreement. For example, the disposition of assets may accelerate payments under the Tax Receivable Agreement and increase the present value of such payments and the disposition of assets before a redemption or exchange transaction may increase TRA Participants’ tax liability while resulting in a lesser amount of payments under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Tax Receivable Agreement will continue until all such tax benefits have been utilized or expired, unless we exercise our right to terminate the Tax Receivable Agreement early, certain changes of control occur (as described in more detail below) or we breach any of our material obligations under the Tax Receivable Agreement (unless waived by the TRA Participants’ representative),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 (ii) 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A common stock at the time of termination or change of control,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 control and the apportionment factors with respect to state and local taxes will be calculated based on the apportionment factors applicable in the prior taxable year and (v) certain non-amortizable assets are deemed disposed on the fifteen-year anniversary of the applicable exchange, date of the IPO, or date of the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As a result of this, TRA Participants may have interests that diverge from our other stockholders.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w:t>
      </w:r>
    </w:p>
    <w:p>
      <w:pPr>
        <w:pStyle w:val="TextBody"/>
        <w:bidi w:val="0"/>
        <w:spacing w:before="240" w:after="0"/>
        <w:jc w:val="left"/>
        <w:rPr>
          <w:rFonts w:ascii="Times New Roman" w:hAnsi="Times New Roman"/>
          <w:sz w:val="20"/>
        </w:rPr>
      </w:pPr>
      <w:r>
        <w:rPr>
          <w:rFonts w:ascii="Times New Roman" w:hAnsi="Times New Roman"/>
          <w:sz w:val="20"/>
        </w:rPr>
        <w:t xml:space="preserve">Payments under the Tax Receivable Agreement will generally be based on the tax reporting positions that we determine. We will not be reimbursed for any payments previously made under the Tax Receivable Agreement if any covered tax attributes (including our allocable share of depreciable and amortizable tax basis, increases in such share of tax basis and any Basis Adjustments upon an exchange or redemption, or the amount of any net operating losses of or tax basis attributable to the Blocker Companies) or the utilization thereof are successfully challenged by the IRS. Such amounts may reduce our future obligations, if any,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Because of this and other factors, in certain circumstances, payments could be made under the Tax Receivable Agreement that are substantially greater than our actual cash tax benefits. </w:t>
      </w:r>
    </w:p>
    <w:p>
      <w:pPr>
        <w:pStyle w:val="TextBody"/>
        <w:bidi w:val="0"/>
        <w:spacing w:before="240" w:after="0"/>
        <w:jc w:val="left"/>
        <w:rPr>
          <w:rFonts w:ascii="Times New Roman" w:hAnsi="Times New Roman"/>
          <w:sz w:val="20"/>
        </w:rPr>
      </w:pPr>
      <w:r>
        <w:rPr>
          <w:rFonts w:ascii="Times New Roman" w:hAnsi="Times New Roman"/>
          <w:sz w:val="20"/>
        </w:rPr>
        <w:t xml:space="preserve">We have full responsibility for, and sole discretion over, all of our and SOLV Energy Holdings LLC tax matters, including the filing and amendment of all tax returns and claims for refund and defense of all tax contests, subject to certain participation and approval rights held by the TRA Participants’ representative. If the outcome of any challenge to all or part of the covered tax benefits we claim would reasonably be expected to adversely affect the rights and obligations of the TRA Participants under the Tax Receivable Agreement in any material respect, then we will not be permitted to settle such challenge without the consent (not to be unreasonably withheld, conditioned or delayed) of the TRA Participants’ representative. The interests of the TRA Participants in any such challenge may differ from or conflict with our interests and your interests, and the TRA Participants may exercise their consent rights relating to any such challenge in a manner adverse to our interests and your interests. </w:t>
      </w:r>
    </w:p>
    <w:p>
      <w:pPr>
        <w:pStyle w:val="TextBody"/>
        <w:bidi w:val="0"/>
        <w:spacing w:before="240" w:after="0"/>
        <w:jc w:val="left"/>
        <w:rPr>
          <w:rFonts w:ascii="Times New Roman" w:hAnsi="Times New Roman"/>
          <w:sz w:val="20"/>
        </w:rPr>
      </w:pPr>
      <w:r>
        <w:rPr>
          <w:rFonts w:ascii="Times New Roman" w:hAnsi="Times New Roman"/>
          <w:sz w:val="20"/>
        </w:rPr>
        <w:t xml:space="preserve">Under the Tax Receivable Agreement, we are required to provide the TRA Participants’ representative, as the agent of the TRA Participants, with a schedule setting forth the calculation of payments that are due under the Tax Receivable Agreement with respect to each taxable year in which a payment obligation arises within one hundred twenty (120) days after the extended due date of our U.S. federal income tax return. Payments under the Tax Receivable Agreement must generally be made within five (5) business days after this schedule becomes final pursuant to the procedures set forth in the Tax Receivable Agreement, although interest on such payments will begin to accrue at a rate of SOFR plus 100 basis points per annum from the due date (without extensions) of such tax return. Any payments that are not timely made under the Tax Receivable Agreement (e.g., as a result of us not having sufficient funds) will generally continue to accrue interest at a rate of SOFR plus 500 basis points per annum until such payments are made (except that, if we did not timely make the payment as a result of having insufficient funds by reason of limitations imposed under any obligations in respect of indebtedness for borrowed money of us or any of our subsidiaries, the interest accrual will be reduced to SOFR plus 100 basis points).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summary does not purport to be complete and is qualified in its entirety by the provisions of the Tax Receivable Agreement, a copy of which is incorporated by reference as exhibit 10.3 to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SOLV Energy Holdings LLC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Prior SOLV Energy Holdings LLC Agreement </w:t>
      </w:r>
    </w:p>
    <w:p>
      <w:pPr>
        <w:pStyle w:val="TextBody"/>
        <w:bidi w:val="0"/>
        <w:spacing w:before="120" w:after="0"/>
        <w:jc w:val="left"/>
        <w:rPr>
          <w:rFonts w:ascii="Times New Roman" w:hAnsi="Times New Roman"/>
          <w:sz w:val="20"/>
        </w:rPr>
      </w:pPr>
      <w:r>
        <w:rPr>
          <w:rFonts w:ascii="Times New Roman" w:hAnsi="Times New Roman"/>
          <w:sz w:val="20"/>
        </w:rPr>
        <w:t xml:space="preserve">The Limited Liability Company Agreement of SOLV Energy Holdings LLC, dated as of August 26, 2021, governed the business operations of SOLV Energy Holdings LLC and defined the relative rights and privileges associated with the existing interests in SOLV Energy Holdings LLC. We refer to this agreement as the “Prior LLC Agreement.” Under the Prior LLC Agreement, SOLV Energy Parent Holdings LP, as sole member of SOLV Energy Holdings LLC, had complete and absolute control of the affairs and business of SOLV Energy Holdings LLC, and all powers necessary, convenient or appropriate for carrying out the purposes and business of SOLV Energy Holdings LLC. In connection with the Transactions, SOLV Energy Parent Holdings LP was merged into SOLV Energy Holdings LLC. Any rights existing under the Prior LLC Agreement continued until the effective time of the SOLV Energy Holdings LLC Agreement, which was adopted in connection with the Transactions, at which time the Continuing Equity Owners continued as members that hold LLC Interests with the respective rights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Holdings LLC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Transactions, we, the Blocker Companies (which are our wholly-owned subsidiaries), such other of our subsidiaries holding LLC Interests and the Continuing Equity Owners entered into SOLV Energy Holdings LLC’s amended and restated limited liability company agreement on February 10, 2026, which we refer to as the “SOLV Energy Holdings LLC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Managing Member</w:t>
            </w:r>
            <w:r>
              <w:rPr>
                <w:rFonts w:ascii="Times New Roman" w:hAnsi="Times New Roman"/>
                <w:sz w:val="20"/>
              </w:rPr>
              <w:t xml:space="preserve">. Under the SOLV Energy Holdings LLC Agreement, a wholly-owned subsidiary of ours became a member and the sole manager of SOLV Energy Holdings LLC (which, in such subsidiary’s capacity as the manager, we refer to for purposes of this section as “SOLV Manager”). As the sole manager, SOLV Manager is able to control all of the business affairs and decision-making of SOLV Energy Holdings LLC without the approval of any other member (other than limited circumstances in which consent or determination of a member or members is required). As such, SOLV Manager through its officers and directors, is responsible for all operational and administrative decisions of SOLV Energy Holdings LLC and daily management of SOLV Energy Holdings LLC’s business. Pursuant to the terms of the SOLV Energy Holdings LLC Agreement, SOLV Manager cannot be removed or replaced as the sole manager of SOLV Energy Holdings LLC except by resignation, which may be given at any time by written notice to the members, subject to the appointment of a new manager by SOLV Manager or, under certain circumstances, by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Compensation, Fees and Expenses</w:t>
            </w:r>
            <w:r>
              <w:rPr>
                <w:rFonts w:ascii="Times New Roman" w:hAnsi="Times New Roman"/>
                <w:sz w:val="20"/>
              </w:rPr>
              <w:t xml:space="preserve">. SOLV Manager is not entitled to compensation for its services as the manager of SOLV Energy Holdings LLC. SOLV Manager is entitled to reimbursement by SOLV Energy Holdings LLC for reasonable, out-of-pocket fees and expenses incurred by itself or us on behalf of SOLV Energy Holdings LLC, including all expenses associated with the Transactions, any subsequent offering or private sale of our Class A common stock, being a public company and maintaining our corporate existence. Management Holdings is also entitled to reimbursement by SOLV Energy Holdings LLC for reasonable, out-of-pocket expenses incurred on behalf of SOLV Energy Holdings LLC or in connection with holding LLC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Distributions</w:t>
            </w:r>
            <w:r>
              <w:rPr>
                <w:rFonts w:ascii="Times New Roman" w:hAnsi="Times New Roman"/>
                <w:sz w:val="20"/>
              </w:rPr>
              <w:t xml:space="preserve">. The SOLV Energy Holdings LLC Agreement requires “tax distributions,” as that term is used in the agreement, to be made by SOLV Energy Holdings LLC to its members, except to the extent such distributions would exceed available cash or are otherwise prohibited by law or a credit agreement of ours, SOLV Energy Holdings LLC or our respective subsidiaries. Tax distributions will be made quarterly on a pro rata basis (in accordance with each member’s percentage interest, based on the units held by such member at the time of the applicable tax distribution) to each member of SOLV Energy Holdings LLC, including us, in an amount at least sufficient for both (a) each member to receive an amount equal to its assumed income tax liabilities attributable to SOLV Energy Holdings LLC, based on such member’s allocable share of the taxable income of SOLV Energy Holdings LLC (determined net of available taxable losses allocated to such member for prior taxable years (or portions thereof) beginning on or after the effective date of the agreement and taking into account any adjustments under Section 743(b) of the Code) and the assumed tax rate described below and (b) us to meet our obligations pursuant to the Tax Receivable Agreement. The assumed tax rate for purposes of determining tax distributions will be equal to the highest combined marginal federal, state and local statutory tax rate applicable to an individual or corporation (whichever is higher) resident in New York, New York, including any tax rate imposed under Section 1411 of the Code, determined by taking into account the character of the taxable income or gain allocated to such member. The SOLV Energy Holdings LLC Agreement also allows for cash distributions to be made by SOLV Energy Holdings LLC (subject to SOLV Manager’s sole discretion as the sole manager of SOLV Energy Holdings LLC) to its members on a pro rata basis out of “distributable cash,” as that term is defined in the agreement. We expect SOLV Energy Holdings LLC may make distributions out of distributable cash periodically and as necessary to enable us to cover our operating expenses and other obligations, including our tax liabilities and obligations under the Tax Receivable Agreement, except to the extent such distributions would render SOLV Energy Holdings LLC insolvent or are otherwise prohibited by law, a credit agreement or any of our future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Transfer Restrictions</w:t>
            </w:r>
            <w:r>
              <w:rPr>
                <w:rFonts w:ascii="Times New Roman" w:hAnsi="Times New Roman"/>
                <w:sz w:val="20"/>
              </w:rPr>
              <w:t xml:space="preserve">. The SOLV Energy Holdings LLC Agreement generally does not permit transfers of its units by members, except for transfers to permitted transferees (which include, among other things, transfers by Management Holdings to Management Holders in connection with a redemption or direct exchange, or to us or any of our subsidiaries), transfers pursuant to the participation right described below and other limited exceptions. The SOLV Energy Holdings LLC Agreement may impose additional restrictions on transfers (including redemptions described below with respect to vested LLC Interests) that are necessary or advisable so that SOLV Energy Holdings LLC is not treated as a “publicly-traded partnership” for U.S. federal income tax purposes. In the event of a permitted transfer under the SOLV Energy Holdings LLC Agreement, such member will be required to simultaneously transfer shares of Class B common stock to such transferee equal to the number of LLC Interests that were transferred to such transferee in such permitted transfer.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SOLV Energy Holdings LLC Agreement provides that, in the event of a merger or consolidation involving us where, following such transaction, our voting securities immediately prior to such transaction do not continue to represent more than a majority of the voting power of the surviving entity (or its parent), or another specified change of control transaction (each of which we refer to as a “Change of Control Transaction”), that is approved by our board of directors, we may require that each member of SOLV Energy Holdings LLC (other than us and our subsidiaries) redeem all or a portion of such member’s vested LLC Interests and unvested LLC Interests that accelerate in connection with such Change of Control Transaction (together with the cancellation of an equal number of shares of our Class B common stock) for shares of our Class A common stock or economically equivalent cash or securities of a successor entity (with any election as to types of consideration that a holder of shares of Class A common stock shall be entitled to make, if applicable, made available to each member on the same terms as holders of shares of Class A common stock). Any redemption occurring in connection with such a Change of Control Transaction shall be effective immediately prior to, and contingent upon, the consummation of such Change of Control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SOLV Energy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vested LLC Interests shall be permitted to participate in such Pubco Offer by delivering a participation notice, which shall be effective immediately prior to, and contingent upon, the consummation of such Pubco Offer. If a Pubco Offer is proposed by us, then we are required to use our reasonable best efforts to enable and permit the members to participate in such Pubco Offer in respect of such member’s vested LLC Interests to the same extent as or on an economically equivalent basis with the holders of shares of Class A common stock (without being required to exchange vested LLC Interests or corresponding shares of Class B common stock prior to consummation of such transaction), provided that in no event shall any holder of LLC Interests be entitled to receive aggregate consideration for such vested LLC Interest that is greater than the consideration payable in respect of each share of Class A common stock pursuant to the Pubco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Recapitalization</w:t>
            </w:r>
            <w:r>
              <w:rPr>
                <w:rFonts w:ascii="Times New Roman" w:hAnsi="Times New Roman"/>
                <w:sz w:val="20"/>
              </w:rPr>
              <w:t> </w:t>
            </w:r>
            <w:r>
              <w:rPr>
                <w:rFonts w:ascii="Times New Roman" w:hAnsi="Times New Roman"/>
                <w:b/>
                <w:i/>
                <w:sz w:val="20"/>
              </w:rPr>
              <w:t>&amp; Units</w:t>
            </w:r>
            <w:r>
              <w:rPr>
                <w:rFonts w:ascii="Times New Roman" w:hAnsi="Times New Roman"/>
                <w:sz w:val="20"/>
              </w:rPr>
              <w:t xml:space="preserve">. The SOLV Energy Holdings LLC Agreement reclassified the prior limited liability company interests into a new single class of common units, the LLC Interests, some of which were unvested upon issuance. Unvested LLC Interests are subject to time-based vesting and correspond to unvested common units held by Management Holders through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Maintenance of one-to-one Ratio between Shares of Class</w:t>
            </w:r>
            <w:r>
              <w:rPr>
                <w:rFonts w:ascii="Times New Roman" w:hAnsi="Times New Roman"/>
                <w:sz w:val="20"/>
              </w:rPr>
              <w:t> </w:t>
            </w:r>
            <w:r>
              <w:rPr>
                <w:rFonts w:ascii="Times New Roman" w:hAnsi="Times New Roman"/>
                <w:b/>
                <w:i/>
                <w:sz w:val="20"/>
              </w:rPr>
              <w:t>A Common Stock and LLC Interests Owned by Us, and one-to-one Ratio between Shares of Class</w:t>
            </w:r>
            <w:r>
              <w:rPr>
                <w:rFonts w:ascii="Times New Roman" w:hAnsi="Times New Roman"/>
                <w:sz w:val="20"/>
              </w:rPr>
              <w:t> </w:t>
            </w:r>
            <w:r>
              <w:rPr>
                <w:rFonts w:ascii="Times New Roman" w:hAnsi="Times New Roman"/>
                <w:b/>
                <w:i/>
                <w:sz w:val="20"/>
              </w:rPr>
              <w:t>B Common Stock and LLC Interests Owned by Continuing Equity Owners</w:t>
            </w:r>
            <w:r>
              <w:rPr>
                <w:rFonts w:ascii="Times New Roman" w:hAnsi="Times New Roman"/>
                <w:sz w:val="20"/>
              </w:rPr>
              <w:t xml:space="preserve">. Except as otherwise determined by SOLV Manager, the SOLV Energy Holdings LLC Agreement requires SOLV Energy Holdings LLC to take all actions with respect to its LLC Interests, including issuances, reclassifications, distributions, divisions or recapitalizations, such that (i) we at all times maintain a ratio of one LLC Interest owned by us and our subsidiaries, collectively, for each share of Class A common stock issued and outstanding, and (ii) SOLV Energy Holdings LLC at all times maintains (a) a one-to-one ratio between the number of shares of Class A common stock issued and outstanding and the number of LLC Interests owned by us and our subsidiaries, collectively, and (b) a one-to-one ratio between the number of shares of Class B common stock issued and outstanding and the number of LLC Interests owned by Continuing Equity Owners and their permitted transferees, collectively. This ratio requirement disregards (i) shares of our Class A common stock issuable pursuant to unvested awards granted under our equity incentive plans and with respect to which an election under Section 83(b) of the Code has not been made, (ii) treasury stock, and (iii) preferred stock or other debt or equity securities (including warrants, options or rights) issued by us that are convertible into or exercisable or exchangeable for Class A common stock or Class B common stock and have not been so converted or exchanged. If we issue, transfer or deliver from treasury stock or repurchase or redeem shares of Class A common stock, we and SOLV Manager have the authority to take, or cause to be taken, all actions such that, after giving effect to all such issuances, transfers, deliveries, repurchases or redemptions, the number of outstanding LLC Interests we and our subsidiaries own, collectively, equals, on a one-for-one basis, the number of outstanding shares of Class A common stock. If we issue, transfer or deliver from treasury stock or repurchase or redeem any of our preferred stock, we and SOLV Manager have the authority to take, or cause to be taken, all actions such that, after giving effect to all such issuances, transfers, deliveries, repurchases or redemptions, we and our subsidiaries, collectively, hold (in the case of any issuance, transfer or delivery) or cease to hold (in the case of any repurchase or redemption), in each case, equity interests in SOLV Energy Holdings LLC which (in SOLV Manager’s good faith determination) are in the aggregate substantially equivalent to our preferred stock so issued, transferred, delivered, repurchased or redeemed. SOLV Energy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(i) our Class A common stock, to maintain at all times a one-to-one ratio between the number of LLC Interests owned by us and our subsidiaries, collectively, and the number of outstanding shares of our Class A common stock, and (ii) our Class B common stock, to maintain at all times a one-to-one ratio between the number of LLC Interests owned by the Continuing Equity Owners and their permitted transferees, collectively, and the number of outstanding shares of our Class B common stock, as applicable, in each case, subject to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or any of our subsidiaries holds a material amount of cash (or obligations of SOLV Energy Holdings LLC or its subsidiaries in respect of loans made by us or our subsidiaries thereto) (which we refer to, collectively, as “Excess Assets”) in excess of any monetary obligations we reasonably anticipate, we may, in our sole discretion, take, or cause to be taken, any actions with respect to any such Excess Assets and make, or cause to be made, any corresponding adjustments to our or SOLV Energy Holdings LLC’s respective capitalization as we in good faith determine to be fair and reasonable to our stockholders and the Continuing Equity Owners and their permitted transferees to preserve the one-to-one ratios and intended economic effect and provisions of the SOLV Energy Holdings LLC Agreement (including contributing any such Excess Assets to SOLV Energy Holdings LLC and causing SOLV Energy Holdings LLC to recapitalize its LLC Interests to reflect such contribution and maintain such one-to-one ratios, resulting in a pro rata reduction in the LLC Interests and corresponding shares of our Class B common stock held by the members of SOLV Energy Holdings LLC other than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Issuance of LLC Interests upon Exercise of Options or Issuance of Other Equity Compensation</w:t>
            </w:r>
            <w:r>
              <w:rPr>
                <w:rFonts w:ascii="Times New Roman" w:hAnsi="Times New Roman"/>
                <w:sz w:val="20"/>
              </w:rPr>
              <w:t xml:space="preserve">. Upon the exercise of options issued by us, or the issuance of other types of equity compensation by us (such as the issuance of restricted stock or RSUs, payment of bonuses in stock or settlement of stock appreciation rights in stock, as and if applicable), we will have the right to acquire from SOLV Energy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SOLV Energy Holdings LLC or its subsidiaries, we will make, or be deemed to make, a capital contribution to SOLV Energy Holdings LLC equal to the aggregate value of such shares of Class A common stock and SOLV Energy Holdings LLC will issue to us a number of LLC Interests equal to the number of shares we issued. When we issue shares of Class A common stock in settlement of stock options granted to persons that are officers or employees of SOLV Energy Holdings LLC or its subsidiaries, then we will make a capital contribution to SOLV Energy Holdings LLC equal to any proceeds received in connection with the exercise of such stock option and SOLV Energy Holdings LLC will issue to us a number of LLC Interests equal to the number of shares of Class A common stock that we issued (with the number of LLC Interests and the number of shares of Class A common stock being reduced to account for the exercise price and applicable taxes in the event of any net settlement of such option). In cases where we grant other types of equity compensation to employees of SOLV Energy Holdings LLC or its subsidiaries, on each applicable vesting date (or any earlier date on which the value of the shares is included in the taxable income of the applicable employee), we will be deemed to have made a capital contribution to SOLV Energy Holdings LLC equal to the value of such shares of Class A common stock and SOLV Energy Holdings LLC will issue to us a number of LLC Interests equal to the number of shares of Class A common stock that we issued (subject to reduction to account for any applicable taxes in the event of any net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Dissolution</w:t>
            </w:r>
            <w:r>
              <w:rPr>
                <w:rFonts w:ascii="Times New Roman" w:hAnsi="Times New Roman"/>
                <w:sz w:val="20"/>
              </w:rPr>
              <w:t xml:space="preserve">. The SOLV Energy Holdings LLC Agreement provides that the consent of SOLV Manager, as the manager of SOLV Energy Holdings LLC, and members holding a majority of the LLC Interests (other than us and our subsidiaries) will be required to voluntarily dissolve SOLV Energy Holdings LLC. In addition to a voluntary dissolution, SOLV Energy Holdings LLC will be dissolved upon the entry of a decree of judicial dissolution or other circumstances in accordance with Delaware law. Upon a dissolution event, the proceeds of a liquidation will be distributed in the following order: (i) first, to pay debts and liabilities owed to creditors of SOLV Energy Holdings LLC, other than members, including expenses incurred in connection with liquidations;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(ii) second, to pay debts and liabilities owed to members, other than payments or distributions owed to members in their capacity as such; and (iii) third, to the members pro-rata with respect to LLC Interests in accordance with their respective percentage ownership interests in SOLV Energy Holdings LLC (as determined based on the number of LLC Interests held by a member relative to the aggregate number of all outstanding LLC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Confidentiality</w:t>
            </w:r>
            <w:r>
              <w:rPr>
                <w:rFonts w:ascii="Times New Roman" w:hAnsi="Times New Roman"/>
                <w:sz w:val="20"/>
              </w:rPr>
              <w:t xml:space="preserve">. Each member (other than us and any of our subsidiaries that are members) agrees to maintain the confidentiality of our and SOLV Energy Holdings LLC’s confidential information. This obligation excludes information independently developed by the members, information that is in the public domain or otherwise disclosed to a member, in either such case not in violation of the SOLV Energy Holdings LLC Agreement or a confidentiality obligation owed to SOLV Energy Holdings LLC, or information approved for release by written authorization of certain designated officers of either us or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w:t>
            </w:r>
            <w:r>
              <w:rPr>
                <w:rFonts w:ascii="Times New Roman" w:hAnsi="Times New Roman"/>
                <w:sz w:val="20"/>
              </w:rPr>
              <w:t xml:space="preserve">. The SOLV Energy Holdings LLC Agreement provides for indemnification of members and their affiliates, SOLV Manager (as manager) and its officers, directors, employees and other agents and officers, directors, employees and other agents of SOLV Energy Holdings LLC, subject to specified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Common Unit Redemption Right</w:t>
            </w:r>
            <w:r>
              <w:rPr>
                <w:rFonts w:ascii="Times New Roman" w:hAnsi="Times New Roman"/>
                <w:sz w:val="20"/>
              </w:rPr>
              <w:t xml:space="preserve">. The SOLV Energy Holdings LLC Agreement provides a redemption right to each member (other than us and any of our subsidiaries that are members) on a quarterly basis (subject to certain limitations) and at other times under certain permitted circumstances, which entitles such member to have its vested LLC Interests redeemed for, at our election (as determined by our board of directors), newly-issued shares of our Class A common stock on a one-for-one basis or, only to the extent we have sufficient available cash from a follow-on offering or secondary offering, a cash payment equal to the price per share of our Class A common stock, net of underwriting discounts and/or commissions, sold in such substantially contemporaneous offering for each vested LLC Interest so redeemed, in each case in accordance with the terms of the SOLV Energy Holdings LLC Agreement; provided that, at our election, we may effect a direct exchange by us of such Class A common stock or such cash, as applicable, for such vested LLC Interests. Each member (other than, prior to the Management Elective Redemption Date, Management Holders holding through Management Holdings) may exercise such redemption right, subject to certain exceptions and reasonable timing procedures, for as long as their vested LLC Interests remain outstanding. SOLV Manager has the right to permit (subject to American Securities’ consent prior to the Management Elective Redemption Date) unvested LLC Interests to be redeemed or exchanged. In connection with the exercise of the redemption or exchange of LLC Interests (i) members will be required to surrender a number of shares of our Class B common stock equal to the number of LLC Interests so redeemed or exchanged, which shares will be transferred to us (if not transferred directly to us in a direct exchange) and will be cancelled for no consideration and (ii) all redeeming members will surrender such LLC Interests to SOLV Energy Holdings LLC for cancellation (if not transferred directly to us in a direct exchange).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at any time prior to the Management Elective Redemption Date, members affiliated with American Securities (other than Management Holdings) exercise a redemption right with respect to LLC Interests, Management Holdings (through which Management Holders own LLC Interests) is required to redeem or exchange a percentage of its vested LLC Interests corresponding to the percentage of vested LLC Interests redeemed or exchanged by such American Securities members, collectively, relative to the total number of such American Securities members’ vested LLC Interests (for purposes of this section, we refer to such corresponding mandatory redemption as a “Management Co-Redemption”). A Management Co-Redemption shall, in all instances until the Management Elective Redemption Date, occur at the same time and on the same terms (other than, for the avoidance of doubt, any differences in rights received under the Tax Receivable Agreement) as the American Securities members’ redemption or direct exchange. Until the Management Elective Redemption Date, Management Holdings (and thus indirectly the Management Holders owning interests in such entity) is not entitled to exercise a redemption right independently of a Management Co-Redemption. Following the Management Elective Redemption Date, Management Holders, through Management Holdings, will have the same rights and limitations as other members in exercising the redemption or exchange of vested LLC Interests, in accordance with the terms of the SOLV Energy Holdings LLC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member’s redemption rights are subject to certain customary limitations, including the expiration of any contractual lock-up period relating to the shares of our Class A common stock that may be applicable to such member and the absence of any liens or encumbrances on such LLC Interests redeemed. Additionally, unless otherwise agreed by the redeeming member, in the event we elect a cash settlement, such member may rescind its redemption request within a specified period of time under certain circumstances. Moreover, in the case of a settlement in Class A common stock, such member may condition its redemption on the closing of a purchase by another person (whether in an underwritten offering or otherwise) of the shares of Class A common stock that may be issued in connection with such proposed redemption. In the case of a settlement in Class A common stock, such member (unless otherwise agreed by the redeeming member) may also revoke or delay its redemption request if the following conditions exist: (i) any registration statement pursuant to which the resale of the Class A common stock to be registered for such member at or immediately following the consummation of the redemption shall have ceased to be effective pursuant to any action or inaction by the SEC or no such resale registration statement has yet become effective; (ii) we failed to cause any related prospectus to be supplemented by any required prospectus supplement necessary to effect such redemption; (iii) we exercised our right to defer, delay or suspend the filing or effectiveness of a registration statement and such deferral, delay or suspension shall affect the ability of such member to have its Class A common stock registered at or immediately following the consummation of the redemption; (iv) such member is in possession of any material non-public information concerning us, the receipt of which results in such member being prohibited or restricted from selling Class A common stock at or immediately following the redemption without disclosure of such information (and we do not permit disclosure); (v) any stop order relating to the registration statement pursuant to which the Class A common stock was to be registered by such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entity that restrains or prohibits the redemption; (viii) we shall have failed to comply in all material respects with our obligations under the Registration Rights Agreement, and such failure shall have affected the ability of such member to consummate the resale of the Class A common stock to be received upon such redemption pursuant to an effective registration statement; or (ix) the redemption date would occur three business days or less prior to, or during, a black-out period. </w:t>
      </w:r>
    </w:p>
    <w:p>
      <w:pPr>
        <w:pStyle w:val="TextBody"/>
        <w:bidi w:val="0"/>
        <w:spacing w:before="120" w:after="0"/>
        <w:jc w:val="left"/>
        <w:rPr>
          <w:rFonts w:ascii="Times New Roman" w:hAnsi="Times New Roman"/>
          <w:sz w:val="20"/>
        </w:rPr>
      </w:pPr>
      <w:r>
        <w:rPr>
          <w:rFonts w:ascii="Times New Roman" w:hAnsi="Times New Roman"/>
          <w:sz w:val="20"/>
        </w:rPr>
        <w:t xml:space="preserve">The SOLV Energy Holdings LLC Agreement requires that in the case of a redemption by a member, we contribute cash or shares of our Class A common stock, as applicable, to SOLV Energy Holdings LLC in exchange for a number of newly-issued LLC Interests that will be issued to us equal to the number of vested LLC Interests redeemed from the redeeming member. SOLV Energy Holdings LLC will then distribute the cash or shares of our Class A common stock, as applicable, to such member to complete the redemption. In the event of a redemption election by a member, we may, at our option, instead effect a direct exchange by us of cash or our Class A common stock, as applicable, for such vested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Redemption Right</w:t>
            </w:r>
            <w:r>
              <w:rPr>
                <w:rFonts w:ascii="Times New Roman" w:hAnsi="Times New Roman"/>
                <w:sz w:val="20"/>
              </w:rPr>
              <w:t xml:space="preserve">. The SOLV Energy Holdings LLC Agreement provides that we have the right under certain circumstances to cause a mandatory redemption or exchange of all outstanding LLC Interests (other than the LLC Interests we and our subsidiaries own), including the right, if certain conditions are met, to cause a mandatory redemption or exchange of all outstanding LLC Interests held by any member that holds less than 1% of the LLC Interests then outstanding (excluding LLC Interests we and our subsidiaries hold).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Amendments</w:t>
            </w:r>
            <w:r>
              <w:rPr>
                <w:rFonts w:ascii="Times New Roman" w:hAnsi="Times New Roman"/>
                <w:sz w:val="20"/>
              </w:rPr>
              <w:t xml:space="preserve">. In addition to certain other requirements and certain exceptions, the consent of SOLV Manager, as manager, and the consent of members holding a majority of the LLC Interests then outstanding (excluding LLC Interests held by us and our subsidiaries) is generally required to amend or modify the SOLV Energy Holdings LLC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Consulting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CS Merger, American Securities was party to separate management consulting agreements with each of CS Energy (the “CS Consulting Agreement”) and SOLV (the “SOLV Consulting Agreement” and together with the CS Consulting Agreement, the “Consulting Agreements”), pursuant to which American Securities agreed to provide certain management and legal services to each of CS Energy and SOLV in exchange for an aggregate annual fee of $3.0 million in equal quarterly cash installments, plus reimbursable expenses. In connection with the CS Merger, the CS Consulting Agreement was terminated and the SOLV Consulting Agreement was amended to increase the annual fee to $3.0 million, payable in equal quarterly cash installments. Payments made, including reimbursable expenses, to American Securities under the Consulting Agreements as of December 31, 2025 amounted to $3.5 million and during the years ended December 31, 2024 and 2023 amounted to $3.1 million and $3.1 million, respectively. The SOLV Consulting Agreement was terminated in connection with the consummation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IPO we entered into a Registration Rights Agreement on February 10, 2026 (the “Registration Rights Agreement”) with certain of the Continuing Equity Owners. The Registration Rights Agreement provides certain of the Continuing Equity Owners and the Blocker Shareholders with “demand” registration rights whereby, at any time after 180 days following the IPO and the expiration of any related lock-up period, such Continuing Equity Owners and the Blocker Shareholders, as applicable, can require us to register under the Securities Act the offer and sale of shares of Class A common stock issuable to them, at our election, upon redemption or exchange of their LLC Interests. The Registration Rights Agreement also provides for customary “piggyback” registration rights for all parties to the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a written related person transaction policy setting forth the policies and procedures for the review and approval or ratification by the Audit Committee of related person transactions. This policy covers, with certain exceptions set forth in Item 404 of Regulation S-K under the Securities Act, any transaction, arrangement or series of transactions or arrangements in which we participate (whether or not we are a party) and a related person has or will have a direct or indirect material interest in such transaction. A related person includes (i) our directors, director nominees or executive officers, (ii) any 5% record or beneficial owner of our common stock or (iii) any immediate family member of the foregoing. In reviewing and approving any related person transaction, the Audit Committee is tasked to consider all of the relevant facts and circumstances, and consideration of various factors enumerated in the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Redemption and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20, 2025, SOLV Energy Parent Holdings LP redeemed the units held by a minority investor for $112.5 million. In connection with the redemption, SOLV Energy, LLC entered into the AS Loan Agreement, with the AS Loan Parties. Pursuant to the AS Loan Agreement the AS Loan Parties agreed to provide a commitment of up to $115.0 million in exchange for a commitment fee of $110,000. The AS Loan Agreement terminated upon the closing of The IPO. The redemption was funded in January 2026 using cash on hand distributed upstream to SOLV Energy Parent Holdings LP from SOLV Energy,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For information on director independence, see “Item 10. Directors, Executive Officers and Corporate Governance.”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bookmarkStart w:id="37" w:name="toc31834_21"/>
            <w:bookmarkEnd w:id="37"/>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PRINCIPAL ACCOUNTANT FEES AND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fees, including out-of-pocket costs, of Ernst &amp; Young LLP (“E&amp;Y”), our independent registered public accounting firm for the years ended December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16"/>
        <w:gridCol w:w="358"/>
        <w:gridCol w:w="236"/>
        <w:gridCol w:w="1663"/>
        <w:gridCol w:w="60"/>
        <w:gridCol w:w="358"/>
        <w:gridCol w:w="236"/>
        <w:gridCol w:w="1663"/>
        <w:gridCol w:w="65"/>
      </w:tblGrid>
      <w:tr>
        <w:trPr/>
        <w:tc>
          <w:tcPr>
            <w:tcW w:w="3116"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1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4216" w:type="dxa"/>
            <w:gridSpan w:val="6"/>
            <w:tcBorders>
              <w:bottom w:val="single" w:sz="8" w:space="0" w:color="000000"/>
            </w:tcBorders>
            <w:tcMar>
              <w:bottom w:w="28" w:type="dxa"/>
            </w:tcMar>
            <w:vAlign w:val="bottom"/>
          </w:tcPr>
          <w:p>
            <w:pPr>
              <w:pStyle w:val="TableContents"/>
              <w:bidi w:val="0"/>
              <w:spacing w:before="0" w:after="283"/>
              <w:jc w:val="center"/>
              <w:rPr/>
            </w:pPr>
            <w:r>
              <w:rPr/>
              <w:t>Year Ended</w:t>
            </w:r>
          </w:p>
        </w:tc>
        <w:tc>
          <w:tcPr>
            <w:tcW w:w="65" w:type="dxa"/>
            <w:tcBorders/>
            <w:vAlign w:val="bottom"/>
          </w:tcPr>
          <w:p>
            <w:pPr>
              <w:pStyle w:val="TableContents"/>
              <w:bidi w:val="0"/>
              <w:spacing w:before="0" w:after="283"/>
              <w:jc w:val="left"/>
              <w:rPr/>
            </w:pPr>
            <w:r>
              <w:rPr/>
              <w:t> </w:t>
            </w:r>
          </w:p>
        </w:tc>
      </w:tr>
      <w:tr>
        <w:trPr/>
        <w:tc>
          <w:tcPr>
            <w:tcW w:w="3116"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99" w:type="dxa"/>
            <w:gridSpan w:val="2"/>
            <w:tcBorders>
              <w:bottom w:val="single" w:sz="8" w:space="0" w:color="000000"/>
            </w:tcBorders>
            <w:tcMar>
              <w:bottom w:w="28" w:type="dxa"/>
            </w:tcMar>
            <w:vAlign w:val="bottom"/>
          </w:tcPr>
          <w:p>
            <w:pPr>
              <w:pStyle w:val="TableContents"/>
              <w:bidi w:val="0"/>
              <w:spacing w:before="0" w:after="283"/>
              <w:jc w:val="center"/>
              <w:rPr/>
            </w:pPr>
            <w:r>
              <w:rPr/>
              <w:t>December 31, 2025</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99" w:type="dxa"/>
            <w:gridSpan w:val="2"/>
            <w:tcBorders>
              <w:bottom w:val="single" w:sz="8" w:space="0" w:color="000000"/>
            </w:tcBorders>
            <w:tcMar>
              <w:bottom w:w="28" w:type="dxa"/>
            </w:tcMar>
            <w:vAlign w:val="bottom"/>
          </w:tcPr>
          <w:p>
            <w:pPr>
              <w:pStyle w:val="TableContents"/>
              <w:bidi w:val="0"/>
              <w:spacing w:before="0" w:after="283"/>
              <w:jc w:val="center"/>
              <w:rPr/>
            </w:pPr>
            <w:r>
              <w:rPr/>
              <w:t>December 31, 2024</w:t>
            </w:r>
          </w:p>
        </w:tc>
        <w:tc>
          <w:tcPr>
            <w:tcW w:w="65"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35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663" w:type="dxa"/>
            <w:tcBorders/>
            <w:shd w:fill="CCEEFF" w:val="clear"/>
            <w:vAlign w:val="bottom"/>
          </w:tcPr>
          <w:p>
            <w:pPr>
              <w:pStyle w:val="TableContents"/>
              <w:bidi w:val="0"/>
              <w:spacing w:before="0" w:after="283"/>
              <w:jc w:val="right"/>
              <w:rPr/>
            </w:pPr>
            <w:r>
              <w:rPr/>
              <w:t>4,869,725</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663" w:type="dxa"/>
            <w:tcBorders/>
            <w:shd w:fill="CCEEFF" w:val="clear"/>
            <w:vAlign w:val="bottom"/>
          </w:tcPr>
          <w:p>
            <w:pPr>
              <w:pStyle w:val="TableContents"/>
              <w:bidi w:val="0"/>
              <w:spacing w:before="0" w:after="283"/>
              <w:jc w:val="right"/>
              <w:rPr/>
            </w:pPr>
            <w:r>
              <w:rPr/>
              <w:t>1,745,657</w:t>
            </w:r>
          </w:p>
        </w:tc>
        <w:tc>
          <w:tcPr>
            <w:tcW w:w="65"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35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35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Fees(4)</w:t>
            </w:r>
          </w:p>
        </w:tc>
        <w:tc>
          <w:tcPr>
            <w:tcW w:w="35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Fees</w:t>
            </w:r>
          </w:p>
        </w:tc>
        <w:tc>
          <w:tcPr>
            <w:tcW w:w="35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663" w:type="dxa"/>
            <w:tcBorders/>
            <w:shd w:fill="CCEEFF" w:val="clear"/>
            <w:vAlign w:val="bottom"/>
          </w:tcPr>
          <w:p>
            <w:pPr>
              <w:pStyle w:val="TableContents"/>
              <w:bidi w:val="0"/>
              <w:spacing w:before="0" w:after="283"/>
              <w:jc w:val="right"/>
              <w:rPr/>
            </w:pPr>
            <w:r>
              <w:rPr/>
              <w:t>4,869,725</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663" w:type="dxa"/>
            <w:tcBorders/>
            <w:shd w:fill="CCEEFF" w:val="clear"/>
            <w:vAlign w:val="bottom"/>
          </w:tcPr>
          <w:p>
            <w:pPr>
              <w:pStyle w:val="TableContents"/>
              <w:bidi w:val="0"/>
              <w:spacing w:before="0" w:after="283"/>
              <w:jc w:val="right"/>
              <w:rPr/>
            </w:pPr>
            <w:r>
              <w:rPr/>
              <w:t>1,745,657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the aggregate fees invoiced or expected to be invoiced for the audit of our consolidated financial statements, the review of the unaudited interim financial statements included in our Registration Statement in connection with our IPO, and other professional services provided in connection with statutory and regulatory filings or engagements, including comfort letters, consents, assistance with and review of documents filed with the SEC, and other attest services that generally only an independent auditor can provide.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Audit-related fees consist of fees for assurance and related services that are reasonably related to the performance of the audit or review of our financial statements that are not reported under audit fees, such as due diligence related to mergers and acquisitions, benefit plan audits, internal control reviews, etc. There were no audit-related fees incurred in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fees consist of fees for tax compliance, tax advice, and tax planning.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fees include products or services provided by our principal accountant, other than services reported in audit fees, audit-related fees, and tax fees. There were no other fees incurred in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has adopted a pre-approval policy, pursuant to which the Audit Committee may pre-approve audit and permissible non-audit and tax services provided to the Company by its independent auditor, except where pre-approval is not required because such non-audit services are de minimis under the rules of the SEC, in which case subsequent approval may be obtained. The Audit Committee may delegate to one or more designated members of the Audit Committee the authority to pre-approve audit and permissible non-audit services, provided such pre-approval decision is presented to the full Audit Committee at its scheduled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31834_29"/>
      <w:bookmarkEnd w:id="38"/>
      <w:r>
        <w:rPr>
          <w:rFonts w:ascii="Times New Roman" w:hAnsi="Times New Roman"/>
          <w:b/>
          <w:sz w:val="20"/>
        </w:rPr>
        <w:t xml:space="preserve">PART 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bookmarkStart w:id="39" w:name="toc31834_22"/>
            <w:bookmarkEnd w:id="39"/>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A.1.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See “Item 8. Financial Statements and Supplementary Data.” </w:t>
      </w:r>
    </w:p>
    <w:p>
      <w:pPr>
        <w:pStyle w:val="TextBody"/>
        <w:bidi w:val="0"/>
        <w:spacing w:before="360" w:after="0"/>
        <w:jc w:val="left"/>
        <w:rPr>
          <w:rFonts w:ascii="Times New Roman" w:hAnsi="Times New Roman"/>
          <w:b/>
          <w:sz w:val="20"/>
        </w:rPr>
      </w:pPr>
      <w:r>
        <w:rPr>
          <w:rFonts w:ascii="Times New Roman" w:hAnsi="Times New Roman"/>
          <w:b/>
          <w:sz w:val="20"/>
        </w:rPr>
        <w:t xml:space="preserve">A.2.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All schedules are omitted as the information is not required or is otherwise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A.3.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listed below are incorporated herein by reference to prior SEC filings by the Registrant or are included as exhibits in this Form 10-K.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
        <w:gridCol w:w="420"/>
        <w:gridCol w:w="8899"/>
      </w:tblGrid>
      <w:tr>
        <w:trPr/>
        <w:tc>
          <w:tcPr>
            <w:tcW w:w="886"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8899"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bottom"/>
          </w:tcPr>
          <w:p>
            <w:pPr>
              <w:pStyle w:val="TableContents"/>
              <w:bidi w:val="0"/>
              <w:spacing w:before="0" w:after="283"/>
              <w:jc w:val="center"/>
              <w:rPr>
                <w:b/>
              </w:rPr>
            </w:pPr>
            <w:r>
              <w:rPr>
                <w:b/>
              </w:rPr>
              <w:t>Exhibit</w:t>
              <w:br/>
              <w:t>Number</w:t>
            </w:r>
          </w:p>
        </w:tc>
        <w:tc>
          <w:tcPr>
            <w:tcW w:w="420" w:type="dxa"/>
            <w:tcBorders/>
            <w:vAlign w:val="bottom"/>
          </w:tcPr>
          <w:p>
            <w:pPr>
              <w:pStyle w:val="TableContents"/>
              <w:bidi w:val="0"/>
              <w:spacing w:before="0" w:after="283"/>
              <w:jc w:val="left"/>
              <w:rPr/>
            </w:pPr>
            <w:r>
              <w:rPr/>
              <w:t>  </w:t>
            </w:r>
          </w:p>
        </w:tc>
        <w:tc>
          <w:tcPr>
            <w:tcW w:w="8899" w:type="dxa"/>
            <w:tcBorders/>
            <w:vAlign w:val="bottom"/>
          </w:tcPr>
          <w:p>
            <w:pPr>
              <w:pStyle w:val="TableContents"/>
              <w:bidi w:val="0"/>
              <w:spacing w:before="0" w:after="283"/>
              <w:jc w:val="center"/>
              <w:rPr>
                <w:b/>
              </w:rPr>
            </w:pPr>
            <w:r>
              <w:rPr>
                <w:b/>
              </w:rPr>
              <w:t>Description</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3.1*</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w:anchor="d31834dex31.htm">
              <w:r>
                <w:rPr>
                  <w:rStyle w:val="InternetLink"/>
                </w:rPr>
                <w:t xml:space="preserve">Amended and Restated Certificate of Incorporation of SOLV Energy, Inc.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3.2</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w:anchor="d31834dex32.htm">
              <w:r>
                <w:rPr>
                  <w:rStyle w:val="InternetLink"/>
                </w:rPr>
                <w:t xml:space="preserve">Amended and Restated Bylaws of SOLV Energy, Inc.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4.1*</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w:anchor="d31834dex41.htm">
              <w:r>
                <w:rPr>
                  <w:rStyle w:val="InternetLink"/>
                </w:rPr>
                <w:t xml:space="preserve">Description of Securities Registered Pursuant to Section 12 of the Exchange Act.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4.2</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2">
              <w:r>
                <w:rPr>
                  <w:rStyle w:val="InternetLink"/>
                </w:rPr>
                <w:t xml:space="preserve">Specimen Stock Certificate evidencing the shares of Class  A common stock (incorporated by reference to Exhibit 4.1 to the Company’s Registration Statement on Form S-1, filed on January 23, 2026).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10.1^</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3">
              <w:r>
                <w:rPr>
                  <w:rStyle w:val="InternetLink"/>
                </w:rPr>
                <w:t xml:space="preserve">Credit Agreement, dated as of February  12, 2026, by and among SOLV Energy Intermediate Holdings LLC, SOLV Energy Acquisition LLC, the lenders party thereto and the other parties specified therein and KeyBank National Association, as administrative agent (incorporated by reference to Exhibit 10.6 to the Company’s Current Report on Form 8-K, filed on February 12, 2026).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10.2^</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4">
              <w:r>
                <w:rPr>
                  <w:rStyle w:val="InternetLink"/>
                </w:rPr>
                <w:t xml:space="preserve">Amended and Restated SOLV Energy Holdings LLC Agreement, dated February  10, 2026, by and among the Company and the other parties thereto (incorporated by reference to Exhibit 10.4 to the Company’s Current Report on Form 8-K, filed on February 12, 2026).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10.3</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5">
              <w:r>
                <w:rPr>
                  <w:rStyle w:val="InternetLink"/>
                </w:rPr>
                <w:t xml:space="preserve">Tax Receivable Agreement, dated as of February  10, 2026, by and among the Company and the other parties thereto (incorporated by reference to Exhibit 10.2 to the Company’s Current Report on Form 8-K, filed on February 12, 2026).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10.4</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6">
              <w:r>
                <w:rPr>
                  <w:rStyle w:val="InternetLink"/>
                </w:rPr>
                <w:t xml:space="preserve">Registration Rights Agreement, dated as of February  10, 2026, by and among the Company and the other parties thereto (incorporated by reference to Exhibit 10.3 to the Company’s Current Report on Form 8-K, filed on February 12, 2026).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10.5</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7">
              <w:r>
                <w:rPr>
                  <w:rStyle w:val="InternetLink"/>
                </w:rPr>
                <w:t xml:space="preserve">Form of Indemnification Agreement (incorporated by reference to Exhibit 10.7 to the Company’s Registration Statement on Form S-1, filed on January 16, 2026).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10.6+</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8">
              <w:r>
                <w:rPr>
                  <w:rStyle w:val="InternetLink"/>
                </w:rPr>
                <w:t xml:space="preserve">Employment Agreement, dated September  10, 2021, by and between SOLV, Inc. (predecessor to SOLV Energy, LLC), ASP SRE Holdings LP, and George Hershman (incorporated by reference to Exhibit 10.8 to the Company’s Registration Statement on Form S-1, filed on January 16, 2026). </w:t>
              </w:r>
            </w:hyperlink>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9319"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10.7+</w:t>
            </w:r>
          </w:p>
        </w:tc>
        <w:tc>
          <w:tcPr>
            <w:tcW w:w="420" w:type="dxa"/>
            <w:tcBorders/>
            <w:vAlign w:val="bottom"/>
          </w:tcPr>
          <w:p>
            <w:pPr>
              <w:pStyle w:val="TableContents"/>
              <w:bidi w:val="0"/>
              <w:spacing w:before="0" w:after="283"/>
              <w:jc w:val="left"/>
              <w:rPr/>
            </w:pPr>
            <w:r>
              <w:rPr/>
              <w:t>  </w:t>
            </w:r>
          </w:p>
        </w:tc>
        <w:tc>
          <w:tcPr>
            <w:tcW w:w="8899" w:type="dxa"/>
            <w:tcBorders/>
          </w:tcPr>
          <w:p>
            <w:pPr>
              <w:pStyle w:val="TableContents"/>
              <w:bidi w:val="0"/>
              <w:spacing w:before="0" w:after="283"/>
              <w:jc w:val="left"/>
              <w:rPr/>
            </w:pPr>
            <w:hyperlink r:id="rId9">
              <w:r>
                <w:rPr>
                  <w:rStyle w:val="InternetLink"/>
                </w:rPr>
                <w:t>Restricted Activities Agreement, dated as of September  10, 2021, by and between ASP SRE Holdings LP and Dave Grubb, Jr. (incorporated by reference to Exhibit 10.9 to the Company’s Registration Statement on Form S-1, filed on January 16,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82"/>
        <w:gridCol w:w="384"/>
        <w:gridCol w:w="8939"/>
      </w:tblGrid>
      <w:tr>
        <w:trPr/>
        <w:tc>
          <w:tcPr>
            <w:tcW w:w="882"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8939" w:type="dxa"/>
            <w:tcBorders/>
            <w:vAlign w:val="center"/>
          </w:tcPr>
          <w:p>
            <w:pPr>
              <w:pStyle w:val="TableContents"/>
              <w:bidi w:val="0"/>
              <w:spacing w:before="0" w:after="283"/>
              <w:jc w:val="left"/>
              <w:rPr>
                <w:sz w:val="4"/>
                <w:szCs w:val="4"/>
              </w:rPr>
            </w:pPr>
            <w:r>
              <w:rPr>
                <w:sz w:val="4"/>
                <w:szCs w:val="4"/>
              </w:rPr>
            </w:r>
          </w:p>
        </w:tc>
      </w:tr>
      <w:tr>
        <w:trPr/>
        <w:tc>
          <w:tcPr>
            <w:tcW w:w="882" w:type="dxa"/>
            <w:tcBorders/>
            <w:vAlign w:val="bottom"/>
          </w:tcPr>
          <w:p>
            <w:pPr>
              <w:pStyle w:val="TableContents"/>
              <w:bidi w:val="0"/>
              <w:spacing w:before="0" w:after="283"/>
              <w:jc w:val="center"/>
              <w:rPr>
                <w:b/>
              </w:rPr>
            </w:pPr>
            <w:r>
              <w:rPr>
                <w:b/>
              </w:rPr>
              <w:t>Exhibit</w:t>
              <w:br/>
              <w:t>Number</w:t>
            </w:r>
          </w:p>
        </w:tc>
        <w:tc>
          <w:tcPr>
            <w:tcW w:w="384" w:type="dxa"/>
            <w:tcBorders/>
            <w:vAlign w:val="bottom"/>
          </w:tcPr>
          <w:p>
            <w:pPr>
              <w:pStyle w:val="TableContents"/>
              <w:bidi w:val="0"/>
              <w:spacing w:before="0" w:after="283"/>
              <w:jc w:val="left"/>
              <w:rPr/>
            </w:pPr>
            <w:r>
              <w:rPr/>
              <w:t> </w:t>
            </w:r>
          </w:p>
        </w:tc>
        <w:tc>
          <w:tcPr>
            <w:tcW w:w="8939" w:type="dxa"/>
            <w:tcBorders/>
            <w:vAlign w:val="bottom"/>
          </w:tcPr>
          <w:p>
            <w:pPr>
              <w:pStyle w:val="TableContents"/>
              <w:bidi w:val="0"/>
              <w:spacing w:before="0" w:after="283"/>
              <w:jc w:val="center"/>
              <w:rPr>
                <w:b/>
              </w:rPr>
            </w:pPr>
            <w:r>
              <w:rPr>
                <w:b/>
              </w:rPr>
              <w:t>Description</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10.8+</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r:id="rId10">
              <w:r>
                <w:rPr>
                  <w:rStyle w:val="InternetLink"/>
                </w:rPr>
                <w:t xml:space="preserve">Restricted Activities Agreement, dated as of September 10, 2021, by and between ASP SRE Holdings  LP and Benjamin Catalano (incorporated by reference to Exhibit 10.10 to the Company’s Registration Statement on Form S-1, filed on January 16, 2026).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10.9+</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r:id="rId11">
              <w:r>
                <w:rPr>
                  <w:rStyle w:val="InternetLink"/>
                </w:rPr>
                <w:t xml:space="preserve">Severance Agreement, dated as of September  10, 2021, by and between SOLV, Inc. (predecessor to SOLV Energy, LLC) and Dave Grubb, Jr. (incorporated by reference to Exhibit 10.11 to the Company’s Registration Statement on Form S-1, filed on January 16, 2026).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10.10+</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r:id="rId12">
              <w:r>
                <w:rPr>
                  <w:rStyle w:val="InternetLink"/>
                </w:rPr>
                <w:t xml:space="preserve">Severance Agreement, dated as of September  10, 2021, by and between SOLV, Inc. (predecessor to SOLV Energy, LLC) and Benjamin Catalano (incorporated by reference to Exhibit 10.12 to the Company’s Registration Statement on Form S-1, filed on January 16, 2026).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10.11+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r:id="rId13">
              <w:r>
                <w:rPr>
                  <w:rStyle w:val="InternetLink"/>
                </w:rPr>
                <w:t xml:space="preserve">Severance Agreement, dated as of January  29, 2025, by and between SOLV Energy, LLC and Chad Plotkin (incorporated by reference to Exhibit 10.13 to the Company’s Registration Statement on Form S-1, filed on January 16, 2026).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10.12+</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r:id="rId14">
              <w:r>
                <w:rPr>
                  <w:rStyle w:val="InternetLink"/>
                </w:rPr>
                <w:t xml:space="preserve">SOLV Energy, Inc. 2026 Equity Incentive Plan (incorporated by reference to Exhibit 99.1 to the Company’s Registration Statement on Form S-8 filed on February 11, 2026).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10.13+</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r:id="rId15">
              <w:r>
                <w:rPr>
                  <w:rStyle w:val="InternetLink"/>
                </w:rPr>
                <w:t xml:space="preserve">Form of Restricted Stock Award Agreement (incorporated by reference to Exhibit 10.15 to the Company’s Registration Statement on Form S-1, filed on January 16, 2026).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10.14+</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r:id="rId16">
              <w:r>
                <w:rPr>
                  <w:rStyle w:val="InternetLink"/>
                </w:rPr>
                <w:t xml:space="preserve">Form of Option Award Agreement (incorporated by reference to Exhibit 10.16 to the Company’s Registration Statement on Form S-1, filed on January 16, 2026).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19.1*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191.htm">
              <w:r>
                <w:rPr>
                  <w:rStyle w:val="InternetLink"/>
                </w:rPr>
                <w:t xml:space="preserve">Insider Trading Policy of SOLV Energy, Inc.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21.1*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211.htm">
              <w:r>
                <w:rPr>
                  <w:rStyle w:val="InternetLink"/>
                </w:rPr>
                <w:t xml:space="preserve">List of Subsidiaries of SOLV Energy, Inc.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23.1*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231.htm">
              <w:r>
                <w:rPr>
                  <w:rStyle w:val="InternetLink"/>
                </w:rPr>
                <w:t xml:space="preserve">Consent of Independent Registered Public Accounting Firm.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24.1*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toc31834_24">
              <w:r>
                <w:rPr>
                  <w:rStyle w:val="InternetLink"/>
                </w:rPr>
                <w:t xml:space="preserve">Power of Attorney (included on the signatures page of this Annual Report).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31.1*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311.htm">
              <w:r>
                <w:rPr>
                  <w:rStyle w:val="InternetLink"/>
                </w:rPr>
                <w:t xml:space="preserve">Certification of Chief Executive Officer pursuant to Section 302 of the Sarbanes-Oxley Act of 2002.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31.2*</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312.htm">
              <w:r>
                <w:rPr>
                  <w:rStyle w:val="InternetLink"/>
                </w:rPr>
                <w:t xml:space="preserve">Certification of Chief Financial Officer pursuant to Section 302 of the Sarbanes-Oxley Act of 2002.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32.1**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321.htm">
              <w:r>
                <w:rPr>
                  <w:rStyle w:val="InternetLink"/>
                </w:rPr>
                <w:t xml:space="preserve">Certifications of Chief Executive Officer pursuant to 18 U.S.C. Section 1350, as adopted pursuant to Section 906 of the Sarbanes-Oxley Act of 2002.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32.2**</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322.htm">
              <w:r>
                <w:rPr>
                  <w:rStyle w:val="InternetLink"/>
                </w:rPr>
                <w:t xml:space="preserve">Certifications of Chief Financial Officer pursuant to 18 U.S.C. Section 1350, as adopted pursuant to Section 906 of the Sarbanes-Oxley Act of 2002.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97.1*+</w:t>
            </w:r>
          </w:p>
        </w:tc>
        <w:tc>
          <w:tcPr>
            <w:tcW w:w="384" w:type="dxa"/>
            <w:tcBorders/>
            <w:vAlign w:val="bottom"/>
          </w:tcPr>
          <w:p>
            <w:pPr>
              <w:pStyle w:val="TableContents"/>
              <w:bidi w:val="0"/>
              <w:spacing w:before="0" w:after="283"/>
              <w:jc w:val="left"/>
              <w:rPr/>
            </w:pPr>
            <w:r>
              <w:rPr/>
              <w:t> </w:t>
            </w:r>
          </w:p>
        </w:tc>
        <w:tc>
          <w:tcPr>
            <w:tcW w:w="8939" w:type="dxa"/>
            <w:tcBorders/>
          </w:tcPr>
          <w:p>
            <w:pPr>
              <w:pStyle w:val="TableContents"/>
              <w:bidi w:val="0"/>
              <w:spacing w:before="0" w:after="283"/>
              <w:jc w:val="left"/>
              <w:rPr/>
            </w:pPr>
            <w:hyperlink w:anchor="d31834dex971.htm">
              <w:r>
                <w:rPr>
                  <w:rStyle w:val="InternetLink"/>
                </w:rPr>
                <w:t xml:space="preserve">Clawback Policy of SOLV Energy, Inc.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have been omitted in accordance with Item 601(a)(5) of Regulation S-K. A copy of any omitted schedule and/or exhibit will be furnished to the SEC on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bookmarkStart w:id="40" w:name="toc31834_23"/>
            <w:bookmarkEnd w:id="40"/>
            <w:r>
              <w:rPr>
                <w:b/>
              </w:rPr>
              <w:t>ITEM 16.</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FORM 10-K SUMMARY.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toc31834_24"/>
      <w:bookmarkEnd w:id="4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8"/>
        <w:gridCol w:w="103"/>
        <w:gridCol w:w="404"/>
        <w:gridCol w:w="103"/>
        <w:gridCol w:w="317"/>
        <w:gridCol w:w="103"/>
        <w:gridCol w:w="4587"/>
      </w:tblGrid>
      <w:tr>
        <w:trPr/>
        <w:tc>
          <w:tcPr>
            <w:tcW w:w="458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87" w:type="dxa"/>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pPr>
            <w:r>
              <w:rPr/>
              <w:t>March 25, 2026</w:t>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07" w:type="dxa"/>
            <w:gridSpan w:val="3"/>
            <w:tcBorders/>
          </w:tcPr>
          <w:p>
            <w:pPr>
              <w:pStyle w:val="TableContents"/>
              <w:bidi w:val="0"/>
              <w:spacing w:before="0" w:after="283"/>
              <w:jc w:val="left"/>
              <w:rPr>
                <w:b/>
              </w:rPr>
            </w:pPr>
            <w:r>
              <w:rPr>
                <w:b/>
              </w:rPr>
              <w:t>SOLV ENERGY, INC.</w:t>
            </w:r>
          </w:p>
        </w:tc>
      </w:tr>
      <w:tr>
        <w:trPr>
          <w:trHeight w:val="240" w:hRule="atLeast"/>
        </w:trPr>
        <w:tc>
          <w:tcPr>
            <w:tcW w:w="458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690" w:type="dxa"/>
            <w:gridSpan w:val="2"/>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Hershman</w:t>
            </w:r>
          </w:p>
        </w:tc>
      </w:tr>
      <w:tr>
        <w:trPr/>
        <w:tc>
          <w:tcPr>
            <w:tcW w:w="4588"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07" w:type="dxa"/>
            <w:gridSpan w:val="3"/>
            <w:tcBorders/>
          </w:tcPr>
          <w:p>
            <w:pPr>
              <w:pStyle w:val="TableContents"/>
              <w:bidi w:val="0"/>
              <w:spacing w:before="0" w:after="283"/>
              <w:jc w:val="left"/>
              <w:rPr/>
            </w:pPr>
            <w:r>
              <w:rPr/>
              <w:t>Name: George Hershman</w:t>
            </w:r>
          </w:p>
        </w:tc>
      </w:tr>
      <w:tr>
        <w:trPr/>
        <w:tc>
          <w:tcPr>
            <w:tcW w:w="4588"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07" w:type="dxa"/>
            <w:gridSpan w:val="3"/>
            <w:tcBorders/>
          </w:tcPr>
          <w:p>
            <w:pPr>
              <w:pStyle w:val="TableContents"/>
              <w:bidi w:val="0"/>
              <w:spacing w:before="0" w:after="283"/>
              <w:jc w:val="left"/>
              <w:rPr/>
            </w:pPr>
            <w:r>
              <w:rPr/>
              <w:t>Title: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George Hershman and Chad Plotkin,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8"/>
        <w:gridCol w:w="121"/>
        <w:gridCol w:w="3263"/>
        <w:gridCol w:w="121"/>
        <w:gridCol w:w="3142"/>
      </w:tblGrid>
      <w:tr>
        <w:trPr/>
        <w:tc>
          <w:tcPr>
            <w:tcW w:w="355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35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3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31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George Hershman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Chief Executive Officer and 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George Hershman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(Principal Executive Officer)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Chad Plotkin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Chief Financial Officer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Chad Plotkin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(Principal Financial Officer)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Ron Stark</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Senior Vice President, Controller and</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Ron Stark</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(Principal Accounting Officer)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Kevin S. Penn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Chair of the Board of Directors</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Kevin S. Penn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Sand</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Michael Sand</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David Portnoy</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David Portnoy</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 Adam Abram</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J. Adam Abram</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Steven Lerner</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Steven Lerner</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Laura Stern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Laura Stern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William Jackson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William Jackson</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Daniel McQuade</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Daniel McQuade</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55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c>
          <w:tcPr>
            <w:tcW w:w="3263"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Nancy Stefanowicz</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center"/>
              <w:rPr/>
            </w:pPr>
            <w:r>
              <w:rPr/>
              <w:t>March 25, 2026</w:t>
            </w:r>
          </w:p>
        </w:tc>
      </w:tr>
      <w:tr>
        <w:trPr/>
        <w:tc>
          <w:tcPr>
            <w:tcW w:w="3558" w:type="dxa"/>
            <w:tcBorders/>
            <w:vAlign w:val="bottom"/>
          </w:tcPr>
          <w:p>
            <w:pPr>
              <w:pStyle w:val="TableContents"/>
              <w:bidi w:val="0"/>
              <w:spacing w:before="0" w:after="283"/>
              <w:jc w:val="center"/>
              <w:rPr/>
            </w:pPr>
            <w:r>
              <w:rPr/>
              <w:t>Nancy Stefanowicz</w:t>
            </w:r>
          </w:p>
        </w:tc>
        <w:tc>
          <w:tcPr>
            <w:tcW w:w="121"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p>
    <w:p>
      <w:pPr>
        <w:pStyle w:val="TextBody"/>
        <w:bidi w:val="0"/>
        <w:spacing w:before="0" w:after="0"/>
        <w:jc w:val="right"/>
        <w:rPr>
          <w:rFonts w:ascii="Times New Roman" w:hAnsi="Times New Roman"/>
          <w:b/>
          <w:sz w:val="20"/>
        </w:rPr>
      </w:pPr>
      <w:bookmarkStart w:id="42" w:name="d31834dex31.htm"/>
      <w:bookmarkStart w:id="43" w:name="ksd31834dex31"/>
      <w:bookmarkEnd w:id="42"/>
      <w:bookmarkEnd w:id="4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240" w:after="0"/>
        <w:jc w:val="left"/>
        <w:rPr>
          <w:rFonts w:ascii="Times New Roman" w:hAnsi="Times New Roman"/>
          <w:sz w:val="20"/>
        </w:rPr>
      </w:pPr>
      <w:r>
        <w:rPr>
          <w:rFonts w:ascii="Times New Roman" w:hAnsi="Times New Roman"/>
          <w:sz w:val="20"/>
        </w:rPr>
        <w:t>SOLV Energy, Inc., a corporation organized and existing under the laws of the State of Delaware (the “</w:t>
      </w:r>
      <w:r>
        <w:rPr>
          <w:rFonts w:ascii="Times New Roman" w:hAnsi="Times New Roman"/>
          <w:b/>
          <w:sz w:val="20"/>
        </w:rPr>
        <w:t>Corporation</w:t>
      </w:r>
      <w:r>
        <w:rPr>
          <w:rFonts w:ascii="Times New Roman" w:hAnsi="Times New Roman"/>
          <w:sz w:val="20"/>
        </w:rPr>
        <w:t xml:space="preserve">”), hereby certifies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name of the Corporation is SOLV Energy, Inc. The Corporation’s original certificate of incorporation was filed with the office of the Secretary of State of the State of Delaware on April 1, 2025. </w:t>
      </w:r>
    </w:p>
    <w:p>
      <w:pPr>
        <w:pStyle w:val="TextBody"/>
        <w:bidi w:val="0"/>
        <w:spacing w:before="120" w:after="0"/>
        <w:jc w:val="left"/>
        <w:rPr>
          <w:rFonts w:ascii="Times New Roman" w:hAnsi="Times New Roman"/>
          <w:sz w:val="20"/>
        </w:rPr>
      </w:pPr>
      <w:r>
        <w:rPr>
          <w:rFonts w:ascii="Times New Roman" w:hAnsi="Times New Roman"/>
          <w:sz w:val="20"/>
        </w:rPr>
        <w:t>B. This amended and restated certificate of incorporation (this “</w:t>
      </w:r>
      <w:r>
        <w:rPr>
          <w:rFonts w:ascii="Times New Roman" w:hAnsi="Times New Roman"/>
          <w:b/>
          <w:sz w:val="20"/>
        </w:rPr>
        <w:t>Certificate of Incorporation</w:t>
      </w:r>
      <w:r>
        <w:rPr>
          <w:rFonts w:ascii="Times New Roman" w:hAnsi="Times New Roman"/>
          <w:sz w:val="20"/>
        </w:rPr>
        <w:t>”) was duly adopted in accordance with Sections 242 and 245 of the General Corporation Law of the State of Delaware, as amended (the “</w:t>
      </w:r>
      <w:r>
        <w:rPr>
          <w:rFonts w:ascii="Times New Roman" w:hAnsi="Times New Roman"/>
          <w:b/>
          <w:sz w:val="20"/>
        </w:rPr>
        <w:t>DGCL</w:t>
      </w:r>
      <w:r>
        <w:rPr>
          <w:rFonts w:ascii="Times New Roman" w:hAnsi="Times New Roman"/>
          <w:sz w:val="20"/>
        </w:rPr>
        <w:t xml:space="preserve">”), restates and amends the provisions of the Corporation’s certificate of incorporation and has been duly approved by the written consent of the stockholders of the Corporation in accordance with Section 228 of the DGCL. </w:t>
      </w:r>
    </w:p>
    <w:p>
      <w:pPr>
        <w:pStyle w:val="TextBody"/>
        <w:bidi w:val="0"/>
        <w:spacing w:before="120" w:after="0"/>
        <w:jc w:val="left"/>
        <w:rPr>
          <w:rFonts w:ascii="Times New Roman" w:hAnsi="Times New Roman"/>
          <w:sz w:val="20"/>
        </w:rPr>
      </w:pPr>
      <w:r>
        <w:rPr>
          <w:rFonts w:ascii="Times New Roman" w:hAnsi="Times New Roman"/>
          <w:sz w:val="20"/>
        </w:rPr>
        <w:t xml:space="preserve">C. The text of the certificate of incorporation of this Corporation is hereby amended and restated to read in its entirety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SOLV Energy,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OFFICE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251 Little Falls Drive, City of Wilmington, County of New Castle, Delaware 19808. The name of its registered agent at such address is Corporation Service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Authorized Capital Stock and Recapitalization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Capital Stock</w:t>
      </w:r>
      <w:r>
        <w:rPr>
          <w:rFonts w:ascii="Times New Roman" w:hAnsi="Times New Roman"/>
          <w:sz w:val="20"/>
        </w:rPr>
        <w:t xml:space="preserve">. The total number of shares of all classes of capital stock that the Corporation is authorized to issue is 1,370,000,000 shares, consisting of three classes as follows: </w:t>
      </w:r>
    </w:p>
    <w:p>
      <w:pPr>
        <w:pStyle w:val="TextBody"/>
        <w:bidi w:val="0"/>
        <w:spacing w:before="120" w:after="0"/>
        <w:jc w:val="left"/>
        <w:rPr>
          <w:rFonts w:ascii="Times New Roman" w:hAnsi="Times New Roman"/>
          <w:sz w:val="20"/>
        </w:rPr>
      </w:pPr>
      <w:r>
        <w:rPr>
          <w:rFonts w:ascii="Times New Roman" w:hAnsi="Times New Roman"/>
          <w:sz w:val="20"/>
        </w:rPr>
        <w:t>(i) 1,250,000,000 shares of Class A common stock, par value $0.0001 per share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100,000,000 shares of Class B common stock, par value $0.0001 per share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(iii) 20,000,000 shares of preferred stock, par value $0.0001 per share (“</w:t>
      </w:r>
      <w:r>
        <w:rPr>
          <w:rFonts w:ascii="Times New Roman" w:hAnsi="Times New Roman"/>
          <w:b/>
          <w:sz w:val="20"/>
        </w:rPr>
        <w:t>Preferred Stock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Recapitalization</w:t>
      </w:r>
      <w:r>
        <w:rPr>
          <w:rFonts w:ascii="Times New Roman" w:hAnsi="Times New Roman"/>
          <w:sz w:val="20"/>
        </w:rPr>
        <w:t>. Effective upon the filing of this Certificate of Incorporation with the Secretary of State of the State of Delaware, all shares of common stock, par value $1.00 per share, of the Corporation issued and outstanding immediately prior to the filing of this Certificate of Incorporation (the “</w:t>
      </w:r>
      <w:r>
        <w:rPr>
          <w:rFonts w:ascii="Times New Roman" w:hAnsi="Times New Roman"/>
          <w:b/>
          <w:sz w:val="20"/>
        </w:rPr>
        <w:t>Existing Common Stock</w:t>
      </w:r>
      <w:r>
        <w:rPr>
          <w:rFonts w:ascii="Times New Roman" w:hAnsi="Times New Roman"/>
          <w:sz w:val="20"/>
        </w:rPr>
        <w:t>”) shall be cancelled and retired for no consideration (the “</w:t>
      </w:r>
      <w:r>
        <w:rPr>
          <w:rFonts w:ascii="Times New Roman" w:hAnsi="Times New Roman"/>
          <w:b/>
          <w:sz w:val="20"/>
        </w:rPr>
        <w:t>Recapitalization</w:t>
      </w:r>
      <w:r>
        <w:rPr>
          <w:rFonts w:ascii="Times New Roman" w:hAnsi="Times New Roman"/>
          <w:sz w:val="20"/>
        </w:rPr>
        <w:t xml:space="preserve">”). The Recapitalization shall occur automatically without any further action by the holders of Existing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Increase or Decrease in Authorized Capital Stock</w:t>
      </w:r>
      <w:r>
        <w:rPr>
          <w:rFonts w:ascii="Times New Roman" w:hAnsi="Times New Roman"/>
          <w:sz w:val="20"/>
        </w:rPr>
        <w:t xml:space="preserve">. Subject to Sections 242(d)(1) or (d)(2) of the DGCL, the number of authorized shares of Class A Common Stock, Class B Common Stock or Preferred Stock may be increased or decreased (but not below the number of shares thereof then outstanding) by the affirmative vote of the holders of at least a majority of the combined voting power of all then-outstanding shares of capital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w:t>
      </w:r>
      <w:r>
        <w:rPr>
          <w:rFonts w:ascii="Times New Roman" w:hAnsi="Times New Roman"/>
          <w:sz w:val="20"/>
          <w:u w:val="single"/>
        </w:rPr>
        <w:t>Section 4.4</w:t>
      </w:r>
      <w:r>
        <w:rPr>
          <w:rFonts w:ascii="Times New Roman" w:hAnsi="Times New Roman"/>
          <w:sz w:val="20"/>
        </w:rPr>
        <w:t xml:space="preserve"> of this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Common Stock</w:t>
      </w:r>
      <w:r>
        <w:rPr>
          <w:rFonts w:ascii="Times New Roman" w:hAnsi="Times New Roman"/>
          <w:sz w:val="20"/>
        </w:rPr>
        <w:t xml:space="preserve">. The powers, preferences and rights of the Class A Common Stock and the Class B Common Stock, and the qualifications, limitations or restrictions thereof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 Rights</w:t>
      </w:r>
      <w:r>
        <w:rPr>
          <w:rFonts w:ascii="Times New Roman" w:hAnsi="Times New Roman"/>
          <w:sz w:val="20"/>
        </w:rPr>
        <w:t xml:space="preserve">. Except as otherwise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(i) the holders of shares of Class A Common Stock shall be entitled to one vote for each such share on each matter properly submitted to the stockholders of the Corporation on which holders of shares of Class A Common Stock are entitled to vote, whether voting separately as a class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 the holders of shares of Class B Common Stock shall be entitled to one vote for each such share on each matter properly submitted to the stockholders of the Corporation on which holders of shares of Class B Common Stock are entitled to vote, whether voting separately as a class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except as otherwise required in this Certificate of Incorporation or by the DGCL,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 and </w:t>
      </w:r>
    </w:p>
    <w:p>
      <w:pPr>
        <w:pStyle w:val="TextBody"/>
        <w:bidi w:val="0"/>
        <w:spacing w:before="120" w:after="0"/>
        <w:jc w:val="left"/>
        <w:rPr>
          <w:rFonts w:ascii="Times New Roman" w:hAnsi="Times New Roman"/>
          <w:sz w:val="20"/>
        </w:rPr>
      </w:pPr>
      <w:r>
        <w:rPr>
          <w:rFonts w:ascii="Times New Roman" w:hAnsi="Times New Roman"/>
          <w:sz w:val="20"/>
        </w:rPr>
        <w:t xml:space="preserve">(iv) the holders of shares of Class A Common Stock and Class B Common Stock shall not have cumulative voting rights. </w:t>
      </w:r>
    </w:p>
    <w:p>
      <w:pPr>
        <w:pStyle w:val="TextBody"/>
        <w:bidi w:val="0"/>
        <w:spacing w:before="120" w:after="0"/>
        <w:jc w:val="left"/>
        <w:rPr>
          <w:rFonts w:ascii="Times New Roman" w:hAnsi="Times New Roman"/>
          <w:sz w:val="20"/>
        </w:rPr>
      </w:pPr>
      <w:r>
        <w:rPr>
          <w:rFonts w:ascii="Times New Roman" w:hAnsi="Times New Roman"/>
          <w:sz w:val="20"/>
        </w:rPr>
        <w:t>Except as otherwise required by law or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and on all other matters properly submitted to a vote of the stockholders;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Dividends and Distributions</w:t>
      </w:r>
      <w:r>
        <w:rPr>
          <w:rFonts w:ascii="Times New Roman" w:hAnsi="Times New Roman"/>
          <w:sz w:val="20"/>
        </w:rPr>
        <w:t>. 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Times New Roman" w:hAnsi="Times New Roman"/>
          <w:b/>
          <w:sz w:val="20"/>
        </w:rPr>
        <w:t>Board</w:t>
      </w:r>
      <w:r>
        <w:rPr>
          <w:rFonts w:ascii="Times New Roman" w:hAnsi="Times New Roman"/>
          <w:sz w:val="20"/>
        </w:rPr>
        <w:t xml:space="preserve">”) from time to time out of any assets or funds of the Corporation legally available therefor and shall share equally on a per share basis in such dividends and distributions. Other than in connection with a dividend declared by the Board in connection with a “poison pill” or similar stockholder rights plan, dividends shall not be declared or paid on the Class B Common Stock and the holders of shares of Class B Common Stock shall have no right to receive dividends in respect of such shares of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Liquidation Rights</w:t>
      </w:r>
      <w:r>
        <w:rPr>
          <w:rFonts w:ascii="Times New Roman" w:hAnsi="Times New Roman"/>
          <w:sz w:val="20"/>
        </w:rPr>
        <w:t xml:space="preserve">. 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Class A Common Stock and Class B Common Stock shall be entitled to receive all of the remaining assets of the Corporation available for distribution to its stockholders, ratably in proportion to the number of shares of Common Stock held by them;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shares of Class B Common Stock shall be entitled to receive $0.0001 per share, and upon receiving such amount, the holders of shares of Class B Common Stock, as such, shall not be entitled to receive any other assets or funds of the Corporation. A consolidation, reorganization or merger of the Corporation with any other Person or Persons (as defined below), or a sale of all or substantially all of the assets of the Corporation, shall not be considered to be a liquidation, dissolution or winding-up of the Corporation within the meaning of this </w:t>
      </w:r>
      <w:r>
        <w:rPr>
          <w:rFonts w:ascii="Times New Roman" w:hAnsi="Times New Roman"/>
          <w:sz w:val="20"/>
          <w:u w:val="single"/>
        </w:rPr>
        <w:t>Section 4.3(c)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Class 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and after the effectiveness of this Certificate of Incorporation with the Secretary of State of the State of Delaware (the “</w:t>
      </w:r>
      <w:r>
        <w:rPr>
          <w:rFonts w:ascii="Times New Roman" w:hAnsi="Times New Roman"/>
          <w:b/>
          <w:sz w:val="20"/>
        </w:rPr>
        <w:t>Effective Time</w:t>
      </w:r>
      <w:r>
        <w:rPr>
          <w:rFonts w:ascii="Times New Roman" w:hAnsi="Times New Roman"/>
          <w:sz w:val="20"/>
        </w:rPr>
        <w:t xml:space="preserve">”), shares of Class B Common Stock may be issued only to, and registered only in the name of, the Continuing Equity Owners (as defined below), their respective successors and assigns, and/or their Permitted Transferees (as defined below) in accordance with </w:t>
      </w:r>
      <w:r>
        <w:rPr>
          <w:rFonts w:ascii="Times New Roman" w:hAnsi="Times New Roman"/>
          <w:sz w:val="20"/>
          <w:u w:val="single"/>
        </w:rPr>
        <w:t>Section 4.6</w:t>
      </w:r>
      <w:r>
        <w:rPr>
          <w:rFonts w:ascii="Times New Roman" w:hAnsi="Times New Roman"/>
          <w:sz w:val="20"/>
        </w:rPr>
        <w:t xml:space="preserve"> (including all subsequent successors, assigns, Permitted Transferees and the Continuing Equity Owners together with such Persons, collectively, the “</w:t>
      </w:r>
      <w:r>
        <w:rPr>
          <w:rFonts w:ascii="Times New Roman" w:hAnsi="Times New Roman"/>
          <w:b/>
          <w:sz w:val="20"/>
        </w:rPr>
        <w:t>Permitted Class</w:t>
      </w:r>
      <w:r>
        <w:rPr>
          <w:rFonts w:ascii="Times New Roman" w:hAnsi="Times New Roman"/>
          <w:sz w:val="20"/>
        </w:rPr>
        <w:t> </w:t>
      </w:r>
      <w:r>
        <w:rPr>
          <w:rFonts w:ascii="Times New Roman" w:hAnsi="Times New Roman"/>
          <w:b/>
          <w:sz w:val="20"/>
        </w:rPr>
        <w:t>B Owners</w:t>
      </w:r>
      <w:r>
        <w:rPr>
          <w:rFonts w:ascii="Times New Roman" w:hAnsi="Times New Roman"/>
          <w:sz w:val="20"/>
        </w:rPr>
        <w:t>”) and the aggregate number of shares of Class B Common Stock at any time registered in the name of each such Permitted Class B Owner must be equal to the aggregate number of LLC Interests (as defined below) held of record at such time by such Permitted Class B Owner under the LLC Agreement (as defined below). As used in this Certificate of Incorporation: (i) “</w:t>
      </w:r>
      <w:r>
        <w:rPr>
          <w:rFonts w:ascii="Times New Roman" w:hAnsi="Times New Roman"/>
          <w:b/>
          <w:sz w:val="20"/>
        </w:rPr>
        <w:t>Continuing Equity Owner</w:t>
      </w:r>
      <w:r>
        <w:rPr>
          <w:rFonts w:ascii="Times New Roman" w:hAnsi="Times New Roman"/>
          <w:sz w:val="20"/>
        </w:rPr>
        <w:t>” means each of the holders of LLC Interests (other than the Corporation) of SOLV Energy Holdings LLC, a Delaware limited liability company (“</w:t>
      </w:r>
      <w:r>
        <w:rPr>
          <w:rFonts w:ascii="Times New Roman" w:hAnsi="Times New Roman"/>
          <w:b/>
          <w:sz w:val="20"/>
        </w:rPr>
        <w:t>SOLV Energy Holdings LLC</w:t>
      </w:r>
      <w:r>
        <w:rPr>
          <w:rFonts w:ascii="Times New Roman" w:hAnsi="Times New Roman"/>
          <w:sz w:val="20"/>
        </w:rPr>
        <w:t>”), as set forth on Schedule II of the LLC Agreement (as defined below) (as such Schedule II may be amended from time to time in accordance with the LLC Agreement); (ii) “</w:t>
      </w:r>
      <w:r>
        <w:rPr>
          <w:rFonts w:ascii="Times New Roman" w:hAnsi="Times New Roman"/>
          <w:b/>
          <w:sz w:val="20"/>
        </w:rPr>
        <w:t>LLC Interest</w:t>
      </w:r>
      <w:r>
        <w:rPr>
          <w:rFonts w:ascii="Times New Roman" w:hAnsi="Times New Roman"/>
          <w:sz w:val="20"/>
        </w:rPr>
        <w:t>” means a membership interest in SOLV Energy Holdings LLC, authorized and issued under the Second Amended and Restated Limited Liability Company Agreement of SOLV Energy Holdings LLC, dated as February 10, 2026, as such agreement may be further amended, restated, amended and restated, supplemented or otherwise modified from time to time (the “</w:t>
      </w:r>
      <w:r>
        <w:rPr>
          <w:rFonts w:ascii="Times New Roman" w:hAnsi="Times New Roman"/>
          <w:b/>
          <w:sz w:val="20"/>
        </w:rPr>
        <w:t>LLC Agreement</w:t>
      </w:r>
      <w:r>
        <w:rPr>
          <w:rFonts w:ascii="Times New Roman" w:hAnsi="Times New Roman"/>
          <w:sz w:val="20"/>
        </w:rPr>
        <w:t>”), and constituting a “</w:t>
      </w:r>
      <w:r>
        <w:rPr>
          <w:rFonts w:ascii="Times New Roman" w:hAnsi="Times New Roman"/>
          <w:b/>
          <w:sz w:val="20"/>
        </w:rPr>
        <w:t>LLC Interest</w:t>
      </w:r>
      <w:r>
        <w:rPr>
          <w:rFonts w:ascii="Times New Roman" w:hAnsi="Times New Roman"/>
          <w:sz w:val="20"/>
        </w:rPr>
        <w:t>” as defined in such LLC Agreement; and (iii) “</w:t>
      </w:r>
      <w:r>
        <w:rPr>
          <w:rFonts w:ascii="Times New Roman" w:hAnsi="Times New Roman"/>
          <w:b/>
          <w:sz w:val="20"/>
        </w:rPr>
        <w:t>Permitted Transferee</w:t>
      </w:r>
      <w:r>
        <w:rPr>
          <w:rFonts w:ascii="Times New Roman" w:hAnsi="Times New Roman"/>
          <w:sz w:val="20"/>
        </w:rPr>
        <w:t xml:space="preserve">” has the meaning given to it in the LLC Agreement, and includes any other Person otherwise permitted to be a transferee of LLC Interests under the LLC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Corporation shall, to the fullest extent permitted by law, undertake all necessary and appropriate action to ensure that the number of shares of Class B Common Stock issued by the Corporation at any time to, or otherwise held of record by, any Permitted Class B Owner shall be equal to the aggregate number of LLC Interests held of record by such Permitted Class B Owner in accordance with the terms of the LLC Agreement.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that there is a merger, consolidation or Change of Control (as defined below) of the Corporation that was approved by the Board prior to such merger, consolidation or Change of Control, then the holders of shares of Class B Common Stock, solely in their capacities as such, shall not be entitled to receive more than $0.0001 per share of Class B Common Stock, whether in the form of consideration for such shares or in the form of a distribution of the proceeds of a sale of all or substantially all of the assets of the Corporation with respect to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any limitations prescribed by law, 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Transfer of Class 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holder of Class B Common Stock may surrender shares of Class B Common Stock to the Corporation for cancellation for no consideration at any time. Following the surrender, or other acquisition, of any shares of Class B Common Stock to or by the Corporation, the Corporation will take all actions necessary to cancel and retire such shares and such shares shall not be re-issued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4.6(a)</w:t>
      </w:r>
      <w:r>
        <w:rPr>
          <w:rFonts w:ascii="Times New Roman" w:hAnsi="Times New Roman"/>
          <w:sz w:val="20"/>
        </w:rPr>
        <w:t xml:space="preserve">, a holder of Class B Common Stock may transfer or assign shares of Class B Common Stock (or any legal or beneficial interest in such shares) (directly or indirectly, including by operation of law) only to a Permitted Transferee of such holder, and only if such holder also simultaneously transfers an equal number of such holder’s LLC Interests to such Permitted Transferee in compliance with the LLC Agreement. The transfer restrictions described in this </w:t>
      </w:r>
      <w:r>
        <w:rPr>
          <w:rFonts w:ascii="Times New Roman" w:hAnsi="Times New Roman"/>
          <w:sz w:val="20"/>
          <w:u w:val="single"/>
        </w:rPr>
        <w:t>Section 4.6(b)</w:t>
      </w:r>
      <w:r>
        <w:rPr>
          <w:rFonts w:ascii="Times New Roman" w:hAnsi="Times New Roman"/>
          <w:sz w:val="20"/>
        </w:rPr>
        <w:t xml:space="preserve"> are referred to as the “</w:t>
      </w:r>
      <w:r>
        <w:rPr>
          <w:rFonts w:ascii="Times New Roman" w:hAnsi="Times New Roman"/>
          <w:b/>
          <w:sz w:val="20"/>
        </w:rPr>
        <w:t>Restrictions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Any purported transfer of shares of Class B Common Stock in violation of the Restrictions shall be null and void. If, notwithstanding the Restrictions, a Person shall, voluntarily or involuntarily, purportedly become or attempt to become, the purported owner (“</w:t>
      </w:r>
      <w:r>
        <w:rPr>
          <w:rFonts w:ascii="Times New Roman" w:hAnsi="Times New Roman"/>
          <w:b/>
          <w:sz w:val="20"/>
        </w:rPr>
        <w:t>Purported Owner</w:t>
      </w:r>
      <w:r>
        <w:rPr>
          <w:rFonts w:ascii="Times New Roman" w:hAnsi="Times New Roman"/>
          <w:sz w:val="20"/>
        </w:rPr>
        <w:t>”) of shares of Class B Common Stock in violation of the Restrictions, then the Purported Owner shall not obtain any rights in, to or with respect to such shares of Class B Common Stock (the “</w:t>
      </w:r>
      <w:r>
        <w:rPr>
          <w:rFonts w:ascii="Times New Roman" w:hAnsi="Times New Roman"/>
          <w:b/>
          <w:sz w:val="20"/>
        </w:rPr>
        <w:t>Restricted Shares</w:t>
      </w:r>
      <w:r>
        <w:rPr>
          <w:rFonts w:ascii="Times New Roman" w:hAnsi="Times New Roman"/>
          <w:sz w:val="20"/>
        </w:rPr>
        <w:t>”), and the purported transfer of the Restricted Shares to the Purported Owner shall not be recognized by the Corporation, the Corporation’s transfer agent (the “</w:t>
      </w:r>
      <w:r>
        <w:rPr>
          <w:rFonts w:ascii="Times New Roman" w:hAnsi="Times New Roman"/>
          <w:b/>
          <w:sz w:val="20"/>
        </w:rPr>
        <w:t>Transfer Agent</w:t>
      </w:r>
      <w:r>
        <w:rPr>
          <w:rFonts w:ascii="Times New Roman" w:hAnsi="Times New Roman"/>
          <w:sz w:val="20"/>
        </w:rPr>
        <w:t xml:space="preserve">”) or the Secretary of the Corporation and each Restricted Share shall, to the fullest extent permitted by law, automatically, without any further action on the part of the Corporation, the holder thereof, the Purported Owner or any other party, lose all voting rights as set forth herein and become a non-voting share. </w:t>
      </w:r>
    </w:p>
    <w:p>
      <w:pPr>
        <w:pStyle w:val="TextBody"/>
        <w:bidi w:val="0"/>
        <w:spacing w:before="120" w:after="0"/>
        <w:jc w:val="left"/>
        <w:rPr>
          <w:rFonts w:ascii="Times New Roman" w:hAnsi="Times New Roman"/>
          <w:sz w:val="20"/>
        </w:rPr>
      </w:pPr>
      <w:r>
        <w:rPr>
          <w:rFonts w:ascii="Times New Roman" w:hAnsi="Times New Roman"/>
          <w:sz w:val="20"/>
        </w:rPr>
        <w:t xml:space="preserve">(d) Upon a determination by the Board that a Person has attempted or may attempt to transfer or to acquire Restricted Shares in violation of the Restrictions, the Corporation may take such action as it deems advisable to refuse to give effect to such transfer or acquisition on the books and records of the Corporation, including without limitation to cause the Transfer Agent or the Secretary of the Corporation, as applicable, to not record the Purported Owner as the record owner of the Restricted Shares, and to institute proceedings to enjoin or rescind any such transfer or acquisition. </w:t>
      </w:r>
    </w:p>
    <w:p>
      <w:pPr>
        <w:pStyle w:val="TextBody"/>
        <w:bidi w:val="0"/>
        <w:spacing w:before="120" w:after="0"/>
        <w:jc w:val="left"/>
        <w:rPr>
          <w:rFonts w:ascii="Times New Roman" w:hAnsi="Times New Roman"/>
          <w:sz w:val="20"/>
        </w:rPr>
      </w:pPr>
      <w:r>
        <w:rPr>
          <w:rFonts w:ascii="Times New Roman" w:hAnsi="Times New Roman"/>
          <w:sz w:val="20"/>
        </w:rPr>
        <w:t xml:space="preserve">(e) The Board may, to the extent permitted by law, from time to time establish, modify, amend or rescind, by bylaw or otherwise, regulations and procedures not inconsistent with the provisions of this </w:t>
      </w:r>
      <w:r>
        <w:rPr>
          <w:rFonts w:ascii="Times New Roman" w:hAnsi="Times New Roman"/>
          <w:sz w:val="20"/>
          <w:u w:val="single"/>
        </w:rPr>
        <w:t>Section 4.6</w:t>
      </w:r>
      <w:r>
        <w:rPr>
          <w:rFonts w:ascii="Times New Roman" w:hAnsi="Times New Roman"/>
          <w:sz w:val="20"/>
        </w:rPr>
        <w:t xml:space="preserve"> for determining whether any transfer or acquisition of shares of Class B Common Stock would violate the Restrictions and for the orderly application, administration and implementation of the provisions of this </w:t>
      </w:r>
      <w:r>
        <w:rPr>
          <w:rFonts w:ascii="Times New Roman" w:hAnsi="Times New Roman"/>
          <w:sz w:val="20"/>
          <w:u w:val="single"/>
        </w:rPr>
        <w:t>Section 4.6</w:t>
      </w:r>
      <w:r>
        <w:rPr>
          <w:rFonts w:ascii="Times New Roman" w:hAnsi="Times New Roman"/>
          <w:sz w:val="20"/>
        </w:rPr>
        <w:t xml:space="preserve">. Any such procedures and regulations shall be kept on file with the Secretary of the Corporation and with the Transfer Agent and shall be made available for inspection by, and upon written request shall be mailed to, holders of shares of Class 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Certificates</w:t>
      </w:r>
      <w:r>
        <w:rPr>
          <w:rFonts w:ascii="Times New Roman" w:hAnsi="Times New Roman"/>
          <w:sz w:val="20"/>
        </w:rPr>
        <w:t xml:space="preserve">. All certificates or book entries representing shares of Class B Common Stock shall bear a legend substantially in the following form (or in such other form as the Board may determine):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BY THIS [CERTIFICATE][BOOK ENTRY] ARE SUBJECT TO THE RESTRICTIONS (INCLUDING RESTRICTIONS ON TRANSFER) SET FORTH IN THE AMENDED AND RESTATED CERTIFICATE OF INCORPORATION OF THE CORPORATION AS IT MAY BE AMENDED AND/OR RESTATED (A COPY OF WHICH IS ON FILE WITH THE SECRETARY OF THE CORPORATION AND SHALL BE PROVIDED FREE OF CHARGE TO ANY STOCKHOLDER MAKING A REQUEST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Fractions</w:t>
      </w:r>
      <w:r>
        <w:rPr>
          <w:rFonts w:ascii="Times New Roman" w:hAnsi="Times New Roman"/>
          <w:sz w:val="20"/>
        </w:rPr>
        <w:t xml:space="preserve">. Class A Common Stock and Class B Common Stock may be issued and transferred in fractions of a share which shall entitle the holder to exercise fractional voting rights and to have the benefit of all other rights of holders of Class A Common Stock and Class B Common Stock, as applicable. Subject to the Restrictions, holders of shares of Class A Common Stock and Class B Common Stock shall be entitled to transfer fractions thereof and the Corporation shall, and shall cause the Transfer Agent to, facilitate any such transfers, including by issuing certificates or making book entries representing any such fractional shares. For all purposes of this Certificate of Incorporation, all references to Class A Common Stock and Class B Common Stock or any share thereof (whether in the singular or plural) shall be deemed to include references to any fraction of a share of such Class A Common Stock or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Share Reserves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at all times reserve and keep available out of its authorized but unissued shares of Class A Common Stock, such number of shares of Class A Common Stock that shall from time to time to be sufficient to effect the exchange of all outstanding LLC Interests held by holders of the Class B Common Stock (together with Class B Common Stock) for shares of Class A Common Stock; provided that nothing contained herein shall be construed to preclude the Corporation from satisfying its obligations in respect of the exchange of the LLC Interests (together with Class B Common Stock) by delivery of shares of Class A Common Stock that are held in the treasury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(b) The Corporation shall use its best efforts to cause to be reserved and kept available for issuance at all times a sufficient number of authorized but unissued shares of Class B Common Stock, such number of shares of Class B Common Stock that shall from time to time be sufficient to effect the issuance of shares of Class B Common Stock to holders of newly issued LLC Interests for such consideration and for such corporate purposes as the Board may from time to time determine.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General Powers</w:t>
      </w:r>
      <w:r>
        <w:rPr>
          <w:rFonts w:ascii="Times New Roman" w:hAnsi="Times New Roman"/>
          <w:sz w:val="20"/>
        </w:rPr>
        <w:t xml:space="preserve">. The business and affairs of the Corporation shall be managed by or under the direction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Number of Directors; Election; Term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number of members of the entire Board shall be fixed, from time to time, exclusively by the Board in accordance with the bylaws of the Corporation (as amended from time to time in accordance with the provisions hereof and thereof, the “</w:t>
      </w:r>
      <w:r>
        <w:rPr>
          <w:rFonts w:ascii="Times New Roman" w:hAnsi="Times New Roman"/>
          <w:b/>
          <w:sz w:val="20"/>
        </w:rPr>
        <w:t>Bylaws</w:t>
      </w:r>
      <w:r>
        <w:rPr>
          <w:rFonts w:ascii="Times New Roman" w:hAnsi="Times New Roman"/>
          <w:sz w:val="20"/>
        </w:rPr>
        <w:t xml:space="preserve">”), subject to the rights of holders of any series of Preferred Stock with respect to the election of directors,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rights of holders of any series of Preferred Stock with respect to the election of directors, the directors of the Corporation shall be divided into three classes as nearly equal in number as is practicable, hereby designated Class I, Class II and Class III. The Board is authorized to assign members of the Board already in office to such classes. The term of office of the initial Class I directors shall expire upon the election of directors at the first annual meeting of stockholders following the effectiveness of this Article V; the term of office of the initial Class II directors shall expire upon the election of directors at the second annual meeting of stockholders following the effectiveness of this Article V; and the term of office of the initial Class III directors shall expire upon the election of directors at the third annual meeting of stockholders following the effectiveness of this Article V. At each annual meeting of stockholders, commencing with the first annual meeting of stockholders following the effectiveness of this Article V,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 The Board is authorized to assign each director already in office at the Effective Time, as well as each director elected or appointed to a newly created directorship due to an increase in the size of the Board, to Class I, Class II or Class III. Directors shall be elected by the plurality of the votes cast by the holders of shares present in person or represented by proxy at the meeting and entitled to vote thereon. The provisions of this </w:t>
      </w:r>
      <w:r>
        <w:rPr>
          <w:rFonts w:ascii="Times New Roman" w:hAnsi="Times New Roman"/>
          <w:sz w:val="20"/>
          <w:u w:val="single"/>
        </w:rPr>
        <w:t>Section 5.2(b)</w:t>
      </w:r>
      <w:r>
        <w:rPr>
          <w:rFonts w:ascii="Times New Roman" w:hAnsi="Times New Roman"/>
          <w:sz w:val="20"/>
        </w:rPr>
        <w:t xml:space="preserve"> are subject to the rights of the holders of any class or series of Preferred Stock to elect directors and such directors need not serve classified terms.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provisions of this </w:t>
      </w:r>
      <w:r>
        <w:rPr>
          <w:rFonts w:ascii="Times New Roman" w:hAnsi="Times New Roman"/>
          <w:sz w:val="20"/>
          <w:u w:val="single"/>
        </w:rPr>
        <w:t>Section 5.2</w:t>
      </w:r>
      <w:r>
        <w:rPr>
          <w:rFonts w:ascii="Times New Roman" w:hAnsi="Times New Roman"/>
          <w:sz w:val="20"/>
        </w:rPr>
        <w:t xml:space="preserve">, and subject to the rights of holders of any series of Preferred Stock with respect to the election of directors, each director shall serve until such director’s successor is duly elected and qualified or until such director’s earlier death, resignation or removal. </w:t>
      </w:r>
    </w:p>
    <w:p>
      <w:pPr>
        <w:pStyle w:val="TextBody"/>
        <w:bidi w:val="0"/>
        <w:spacing w:before="120" w:after="0"/>
        <w:jc w:val="left"/>
        <w:rPr>
          <w:rFonts w:ascii="Times New Roman" w:hAnsi="Times New Roman"/>
          <w:sz w:val="20"/>
        </w:rPr>
      </w:pPr>
      <w:r>
        <w:rPr>
          <w:rFonts w:ascii="Times New Roman" w:hAnsi="Times New Roman"/>
          <w:sz w:val="20"/>
        </w:rPr>
        <w:t xml:space="preserve">(d) Elections of directors need not be by written ballot unless the Bylaws shall so provide.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 of the other provisions of this Article V,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and such directors so elected shall not be divided into classes pursuant to this Article V unless expressly provided by such terms. During any period when the holders of any series of Preferred Stock have the right to elect additional directors as provided for or fixed pursuant to the provisions of this Article V,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Removal</w:t>
      </w:r>
      <w:r>
        <w:rPr>
          <w:rFonts w:ascii="Times New Roman" w:hAnsi="Times New Roman"/>
          <w:sz w:val="20"/>
        </w:rPr>
        <w:t xml:space="preserve">. Subject to the rights of holders of any series of Preferred Stock with respect to the election of directors, any director may be removed from office at any time by the affirmative vote of the holders of at least a majority of the combined voting power of all then-outstanding shares of capital stock of the Corporation entitled to vote generally in the election of directors, voting together as a single class, and only for cause, for so long as the Board is classified.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Vacancies and Newly Created Directorships</w:t>
      </w:r>
      <w:r>
        <w:rPr>
          <w:rFonts w:ascii="Times New Roman" w:hAnsi="Times New Roman"/>
          <w:sz w:val="20"/>
        </w:rPr>
        <w:t xml:space="preserve">. Subject to the rights of holders of any series of Preferred Stock with respect to the election of directors, vacancies occurring on the Board for any reason and newly created directorships resulting from an increase in the number of directors may be filled only by vote of at least a majority of the remaining members of the Board, although less than a quorum, or by a sole remaining director, at any meeting of the Board and not by the stockholders.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BYLAWS </w:t>
      </w:r>
    </w:p>
    <w:p>
      <w:pPr>
        <w:pStyle w:val="TextBody"/>
        <w:bidi w:val="0"/>
        <w:spacing w:before="120" w:after="0"/>
        <w:jc w:val="left"/>
        <w:rPr>
          <w:rFonts w:ascii="Times New Roman" w:hAnsi="Times New Roman"/>
          <w:sz w:val="20"/>
        </w:rPr>
      </w:pPr>
      <w:r>
        <w:rPr>
          <w:rFonts w:ascii="Times New Roman" w:hAnsi="Times New Roman"/>
          <w:sz w:val="20"/>
        </w:rPr>
        <w:t xml:space="preserve">In furtherance and not in limitation of the powers conferred by statute, the Board is expressly authorized to adopt, amend, alter or repeal the Bylaws. The affirmative vote of at least a majority of the Board then in office shall be required in order for the Board to adopt, amend, alter or repeal the Corporation’s Bylaws. Notwithstanding anything to the contrary contained in this Certificate of Incorporation or any provision of law which might otherwise permit a lesser vote of the stockholders, and subject to any limitations prescribed by any series of Preferred Stock, the Bylaws may also be adopted, amended, altered or repealed by the stockholders of the Corporation by the affirmative vote of the holders of at least a majority of the combined voting power of all then-outstanding shares of capital stock of the Corporation entitled to vote thereon. No Bylaw hereafter legally altered, amended or repealed shall invalidate any prior act of the directors or officers of the Corporation that would have been valid if such Bylaw had not been altered, amended or repealed.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w:t>
      </w:r>
    </w:p>
    <w:p>
      <w:pPr>
        <w:pStyle w:val="TextBody"/>
        <w:bidi w:val="0"/>
        <w:spacing w:before="12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Action by Written Consent of Stockholders</w:t>
      </w:r>
      <w:r>
        <w:rPr>
          <w:rFonts w:ascii="Times New Roman" w:hAnsi="Times New Roman"/>
          <w:sz w:val="20"/>
        </w:rPr>
        <w:t xml:space="preserve">.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any time when American Securities Related Parties (as defined below) beneficially own (within the meaning of Rules 13d-3 and 13d-5 under the Exchange Act) at least a majority of the combined voting power of all then-outstanding shares of capital stock of the Corporation, any action required or permitted to be taken at any annual or special meeting of stockholders may be taken without a meeting, without prior notice and without a vote, if a consent or consents in writing, setting forth the action so taken, are (a) signed by the holders of outstanding shares of the relevant class(es) or series of stock of the Corporation representing not less than the minimum number of votes that would be necessary to authorize or take such action at a meeting at which all shares of stock of the Corporation then issued and outstanding (other than treasury stock) entitled to vote thereon were present and voted, and (b) delivered to the Corporation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Special Meetings</w:t>
      </w:r>
      <w:r>
        <w:rPr>
          <w:rFonts w:ascii="Times New Roman" w:hAnsi="Times New Roman"/>
          <w:sz w:val="20"/>
        </w:rPr>
        <w:t xml:space="preserve">. At any time when American Securities Related Parties (as defined below) beneficially own (within the meaning of Rules 13d-3 and 13d-5 under the Exchange Act) at least a majority of the combined voting power of all then-outstanding shares of capital stock of the Corporation, and except as otherwise expressly provided by the terms of any series of Preferred Stock permitting the holders of such series of Preferred Stock to call a special meeting of the holders of such series only, special meetings of the stockholders of the Corporation may be called only by the Chairperson of the Board, at least a majority of the Board, by the Chief Executive Officer of the Corporation, or by the Corporate Secretary of the Corporation at the request of the holders of at least a majority of the combined voting power of all then-outstanding shares of capital stock of the Corporation. At any time when American Securities Related Parties (as defined below) beneficially own (within the meaning of Rules 13d-3 and 13d-5 under the Exchange Act) less than a majority of the combined voting power of all then-outstanding shares of capital stock of the Corporation, except as otherwise expressly provided by the terms of any series of Preferred Stock permitting the holders of such series of Preferred Stock to call a special meeting of the holders of such series, only the Chairperson of the Board, at least a majority of the Board, or the Chief Executive Officer of the Corporation may call special meetings of the stockholders of the Corporation and the ability of the stockholders of the Corporation to call a special meeting of the stockholders is hereby specifically denied.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Advance Notice</w:t>
      </w:r>
      <w:r>
        <w:rPr>
          <w:rFonts w:ascii="Times New Roman" w:hAnsi="Times New Roman"/>
          <w:sz w:val="20"/>
        </w:rPr>
        <w:t xml:space="preserve">. Advance notice of stockholder nominations for the election of directors and of business to be brought by stockholders before any meeting of the stockholders of the Corporation shall be given in the manner provided in the Bylaws.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LIMITATION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Limitation of Personal Liability</w:t>
      </w:r>
      <w:r>
        <w:rPr>
          <w:rFonts w:ascii="Times New Roman" w:hAnsi="Times New Roman"/>
          <w:sz w:val="20"/>
        </w:rPr>
        <w:t xml:space="preserve">. No director or officer of the Corporation shall be personally liable to the Corporation or its stockholders for monetary damages for breach of fiduciary duty as a director or officer,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For purposes of this </w:t>
      </w:r>
      <w:r>
        <w:rPr>
          <w:rFonts w:ascii="Times New Roman" w:hAnsi="Times New Roman"/>
          <w:sz w:val="20"/>
          <w:u w:val="single"/>
        </w:rPr>
        <w:t>Section 8.1</w:t>
      </w:r>
      <w:r>
        <w:rPr>
          <w:rFonts w:ascii="Times New Roman" w:hAnsi="Times New Roman"/>
          <w:sz w:val="20"/>
        </w:rPr>
        <w:t xml:space="preserve">, “officer” shall have the meaning provided in Section 102(b)(7) of the DGCL, as it presently exists or may hereafter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Indemnification and Advancement of Expenses</w:t>
      </w:r>
      <w:r>
        <w:rPr>
          <w:rFonts w:ascii="Times New Roman" w:hAnsi="Times New Roman"/>
          <w:sz w:val="20"/>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right to indemnification conferred by this </w:t>
      </w:r>
      <w:r>
        <w:rPr>
          <w:rFonts w:ascii="Times New Roman" w:hAnsi="Times New Roman"/>
          <w:sz w:val="20"/>
          <w:u w:val="single"/>
        </w:rPr>
        <w:t>Section 8.2</w:t>
      </w:r>
      <w:r>
        <w:rPr>
          <w:rFonts w:ascii="Times New Roman" w:hAnsi="Times New Roman"/>
          <w:sz w:val="20"/>
        </w:rPr>
        <w:t xml:space="preserve"> shall include the right to be paid by the Corporation the expenses incurred in defending or otherwise participating in any proceeding in advance of its final disposition, provided that such director presents to the Corporation a written undertaking to repay such amount if it shall ultimately be determined that such director is not entitled to be indemnified by the Corporation under this </w:t>
      </w:r>
      <w:r>
        <w:rPr>
          <w:rFonts w:ascii="Times New Roman" w:hAnsi="Times New Roman"/>
          <w:sz w:val="20"/>
          <w:u w:val="single"/>
        </w:rPr>
        <w:t>Article VIII</w:t>
      </w:r>
      <w:r>
        <w:rPr>
          <w:rFonts w:ascii="Times New Roman" w:hAnsi="Times New Roman"/>
          <w:sz w:val="20"/>
        </w:rPr>
        <w:t xml:space="preserve"> or otherwise. Notwithstanding the foregoing, except for proceedings to enforce any director’s or officer’s rights to indemnification or any director’s rights to advancement of expenses, the Corporation shall not be obligated to indemnify any director or officer, or advance expenses of any director, (or such director’s or officer’s heirs, executors or personal or legal representatives) in connection with any proceeding (or part thereof) initiated by such person unless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Non-Exclusivity of Rights</w:t>
      </w:r>
      <w:r>
        <w:rPr>
          <w:rFonts w:ascii="Times New Roman" w:hAnsi="Times New Roman"/>
          <w:sz w:val="20"/>
        </w:rPr>
        <w:t xml:space="preserve">. The rights to indemnification and advancement of expenses conferred in </w:t>
      </w:r>
      <w:r>
        <w:rPr>
          <w:rFonts w:ascii="Times New Roman" w:hAnsi="Times New Roman"/>
          <w:sz w:val="20"/>
          <w:u w:val="single"/>
        </w:rPr>
        <w:t>Section 8.2</w:t>
      </w:r>
      <w:r>
        <w:rPr>
          <w:rFonts w:ascii="Times New Roman" w:hAnsi="Times New Roman"/>
          <w:sz w:val="20"/>
        </w:rPr>
        <w:t xml:space="preserve">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Insurance</w:t>
      </w:r>
      <w:r>
        <w:rPr>
          <w:rFonts w:ascii="Times New Roman" w:hAnsi="Times New Roman"/>
          <w:sz w:val="20"/>
        </w:rPr>
        <w:t xml:space="preserve">. To the fullest extent authorized or permitted by the DGCL, the Corporation shall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w:t>
      </w:r>
      <w:r>
        <w:rPr>
          <w:rFonts w:ascii="Times New Roman" w:hAnsi="Times New Roman"/>
          <w:sz w:val="20"/>
          <w:u w:val="single"/>
        </w:rPr>
        <w:t>Article VIII</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Persons Other Than Directors and Officers</w:t>
      </w:r>
      <w:r>
        <w:rPr>
          <w:rFonts w:ascii="Times New Roman" w:hAnsi="Times New Roman"/>
          <w:sz w:val="20"/>
        </w:rPr>
        <w:t xml:space="preserve">. This </w:t>
      </w:r>
      <w:r>
        <w:rPr>
          <w:rFonts w:ascii="Times New Roman" w:hAnsi="Times New Roman"/>
          <w:sz w:val="20"/>
          <w:u w:val="single"/>
        </w:rPr>
        <w:t>Article VIII</w:t>
      </w:r>
      <w:r>
        <w:rPr>
          <w:rFonts w:ascii="Times New Roman" w:hAnsi="Times New Roman"/>
          <w:sz w:val="20"/>
        </w:rPr>
        <w:t xml:space="preserve"> shall not limit the right of the Corporation, to the extent and in the manner permitted by law, to indemnify and to advance expenses to, or to purchase and maintain insurance on behalf of, persons other than those persons described in the first sentence of </w:t>
      </w:r>
      <w:r>
        <w:rPr>
          <w:rFonts w:ascii="Times New Roman" w:hAnsi="Times New Roman"/>
          <w:sz w:val="20"/>
          <w:u w:val="single"/>
        </w:rPr>
        <w:t>Section 8.2</w:t>
      </w:r>
      <w:r>
        <w:rPr>
          <w:rFonts w:ascii="Times New Roman" w:hAnsi="Times New Roman"/>
          <w:sz w:val="20"/>
        </w:rPr>
        <w:t xml:space="preserve"> of this Certificate of Incorporation or to advance expenses to persons other than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Effect of Modifications</w:t>
      </w:r>
      <w:r>
        <w:rPr>
          <w:rFonts w:ascii="Times New Roman" w:hAnsi="Times New Roman"/>
          <w:sz w:val="20"/>
        </w:rPr>
        <w:t xml:space="preserve">. Any amendment, repeal or modification of any provision contained in this </w:t>
      </w:r>
      <w:r>
        <w:rPr>
          <w:rFonts w:ascii="Times New Roman" w:hAnsi="Times New Roman"/>
          <w:sz w:val="20"/>
          <w:u w:val="single"/>
        </w:rPr>
        <w:t>Article VIII</w:t>
      </w:r>
      <w:r>
        <w:rPr>
          <w:rFonts w:ascii="Times New Roman" w:hAnsi="Times New Roman"/>
          <w:sz w:val="20"/>
        </w:rPr>
        <w:t xml:space="preserve"> 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Forum for Certain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Forum</w:t>
      </w:r>
      <w:r>
        <w:rPr>
          <w:rFonts w:ascii="Times New Roman" w:hAnsi="Times New Roman"/>
          <w:sz w:val="20"/>
        </w:rPr>
        <w:t xml:space="preserve">. Unless at least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under Delaware law,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may be amended from time to time), (iv) any action asserting a claim against the Corporation or any of its directors, officers or other employees governed by the internal affairs doctrine of the law of the State of Delaware or (v) any other action asserting an “internal corporate claim,” as defined in Section 115 of the DGCL, in all cases subject to the court’s having personal jurisdiction over all indispensable parties named as defendants. Unless at least a majority of the Board, acting on behalf of the Corporation, consents in writing to the selection of an alternative forum (which consent may be given at any time, including during the pendency of litigation), the federal district courts of the United States of America, to the fullest extent permitted by law, shall be the sole and exclusive forum for the resolution of any action asserting a cause of action arising under the Securities Act. Notwithstanding the foregoing, this </w:t>
      </w:r>
      <w:r>
        <w:rPr>
          <w:rFonts w:ascii="Times New Roman" w:hAnsi="Times New Roman"/>
          <w:sz w:val="20"/>
          <w:u w:val="single"/>
        </w:rPr>
        <w:t>Section 9.1</w:t>
      </w:r>
      <w:r>
        <w:rPr>
          <w:rFonts w:ascii="Times New Roman" w:hAnsi="Times New Roman"/>
          <w:sz w:val="20"/>
        </w:rPr>
        <w:t xml:space="preserve"> shall not apply in any respect to claims or causes of action brought to enforce a duty or liability created by the Exchange Act, or the rules and regulations promulgated thereunder or any other claim or cause of action for which the federal courts have 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Personal Jurisdiction</w:t>
      </w:r>
      <w:r>
        <w:rPr>
          <w:rFonts w:ascii="Times New Roman" w:hAnsi="Times New Roman"/>
          <w:sz w:val="20"/>
        </w:rPr>
        <w:t xml:space="preserve">. If any action the subject matter of which is within the scope of subparagraph (a) of this </w:t>
      </w:r>
      <w:r>
        <w:rPr>
          <w:rFonts w:ascii="Times New Roman" w:hAnsi="Times New Roman"/>
          <w:sz w:val="20"/>
          <w:u w:val="single"/>
        </w:rPr>
        <w:t>Section 9.1</w:t>
      </w:r>
      <w:r>
        <w:rPr>
          <w:rFonts w:ascii="Times New Roman" w:hAnsi="Times New Roman"/>
          <w:sz w:val="20"/>
        </w:rPr>
        <w:t xml:space="preserve"> is filed in a court other than a court located within the State of Delaware (a “</w:t>
      </w:r>
      <w:r>
        <w:rPr>
          <w:rFonts w:ascii="Times New Roman" w:hAnsi="Times New Roman"/>
          <w:b/>
          <w:sz w:val="20"/>
        </w:rPr>
        <w:t>Foreign Action</w:t>
      </w:r>
      <w:r>
        <w:rPr>
          <w:rFonts w:ascii="Times New Roman" w:hAnsi="Times New Roman"/>
          <w:sz w:val="20"/>
        </w:rPr>
        <w:t xml:space="preserve">”) in the name of any stockholder, such stockholder shall be deemed to have consented to (i) the personal jurisdiction of the state and federal courts located within the State of Delaware in connection with any action brought in any such court to enforce subparagraph (a) of this </w:t>
      </w:r>
      <w:r>
        <w:rPr>
          <w:rFonts w:ascii="Times New Roman" w:hAnsi="Times New Roman"/>
          <w:sz w:val="20"/>
          <w:u w:val="single"/>
        </w:rPr>
        <w:t>Section 9.1</w:t>
      </w:r>
      <w:r>
        <w:rPr>
          <w:rFonts w:ascii="Times New Roman" w:hAnsi="Times New Roman"/>
          <w:sz w:val="20"/>
        </w:rPr>
        <w:t xml:space="preserve"> (an “</w:t>
      </w:r>
      <w:r>
        <w:rPr>
          <w:rFonts w:ascii="Times New Roman" w:hAnsi="Times New Roman"/>
          <w:b/>
          <w:sz w:val="20"/>
        </w:rPr>
        <w:t>Enforcement Action</w:t>
      </w:r>
      <w:r>
        <w:rPr>
          <w:rFonts w:ascii="Times New Roman" w:hAnsi="Times New Roman"/>
          <w:sz w:val="20"/>
        </w:rPr>
        <w:t xml:space="preserve">”) and (ii) having service of process made upon such stockholder in any such Enforcement Action by service upon such stockholder’s counsel in the Foreign Action as agent for such stockholder.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Enforceability</w:t>
      </w:r>
      <w:r>
        <w:rPr>
          <w:rFonts w:ascii="Times New Roman" w:hAnsi="Times New Roman"/>
          <w:sz w:val="20"/>
        </w:rPr>
        <w:t xml:space="preserve">. If any provision of this </w:t>
      </w:r>
      <w:r>
        <w:rPr>
          <w:rFonts w:ascii="Times New Roman" w:hAnsi="Times New Roman"/>
          <w:sz w:val="20"/>
          <w:u w:val="single"/>
        </w:rPr>
        <w:t>Section 9.1</w:t>
      </w:r>
      <w:r>
        <w:rPr>
          <w:rFonts w:ascii="Times New Roman" w:hAnsi="Times New Roman"/>
          <w:sz w:val="20"/>
        </w:rPr>
        <w:t xml:space="preserve">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Times New Roman" w:hAnsi="Times New Roman"/>
          <w:sz w:val="20"/>
          <w:u w:val="single"/>
        </w:rPr>
        <w:t>Section 9.1</w:t>
      </w:r>
      <w:r>
        <w:rPr>
          <w:rFonts w:ascii="Times New Roman" w:hAnsi="Times New Roman"/>
          <w:sz w:val="20"/>
        </w:rPr>
        <w:t xml:space="preserve">, and the application of such provision to other persons or entities and circumstances shall not in any way be affected or impaired thereby.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and Consent</w:t>
      </w:r>
      <w:r>
        <w:rPr>
          <w:rFonts w:ascii="Times New Roman" w:hAnsi="Times New Roman"/>
          <w:sz w:val="20"/>
        </w:rPr>
        <w:t xml:space="preserve">. For the avoidance of doubt, any person or entity purchasing or otherwise acquiring or holding any interest in any security of the Corporation shall be deemed to have notice of and consented to the provisions of this </w:t>
      </w:r>
      <w:r>
        <w:rPr>
          <w:rFonts w:ascii="Times New Roman" w:hAnsi="Times New Roman"/>
          <w:sz w:val="20"/>
          <w:u w:val="single"/>
        </w:rPr>
        <w:t>Section 9.1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Section 203 of the DGCL</w:t>
      </w:r>
      <w:r>
        <w:rPr>
          <w:rFonts w:ascii="Times New Roman" w:hAnsi="Times New Roman"/>
          <w:sz w:val="20"/>
        </w:rPr>
        <w:t xml:space="preserve">. The Corporation expressly elects not to be governed by Section 203 of the DGCL and the restrictions and limitations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Interested Stockholder Transactions</w:t>
      </w:r>
      <w:r>
        <w:rPr>
          <w:rFonts w:ascii="Times New Roman" w:hAnsi="Times New Roman"/>
          <w:sz w:val="20"/>
        </w:rPr>
        <w:t xml:space="preserve">. Notwithstanding anything to the contrary set forth in this Certificate of Incorporation, the Corporation shall not engage in any Business Combination (as defined below) at any point in time at which the Corporation’s Class A Common Stock and Class B Common Stock is registered under Section 12(b) or 12(g) of the Exchange Act (as defined below) with any Interested Stockholder (as defined below) for a period of three years following the time that such stockholder became an Interested Stockholder,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prior to such time that such stockholder became an Interested Stockholder, the Board approved either the Business Combination or the transaction which resulted in such stockholder becoming an Interested Stockholder; or </w:t>
      </w:r>
    </w:p>
    <w:p>
      <w:pPr>
        <w:pStyle w:val="TextBody"/>
        <w:bidi w:val="0"/>
        <w:spacing w:before="120" w:after="0"/>
        <w:jc w:val="left"/>
        <w:rPr>
          <w:rFonts w:ascii="Times New Roman" w:hAnsi="Times New Roman"/>
          <w:sz w:val="20"/>
        </w:rPr>
      </w:pPr>
      <w:r>
        <w:rPr>
          <w:rFonts w:ascii="Times New Roman" w:hAnsi="Times New Roman"/>
          <w:sz w:val="20"/>
        </w:rPr>
        <w:t xml:space="preserve">(b) 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w:t>
      </w:r>
    </w:p>
    <w:p>
      <w:pPr>
        <w:pStyle w:val="TextBody"/>
        <w:bidi w:val="0"/>
        <w:spacing w:before="120" w:after="0"/>
        <w:jc w:val="left"/>
        <w:rPr>
          <w:rFonts w:ascii="Times New Roman" w:hAnsi="Times New Roman"/>
          <w:sz w:val="20"/>
        </w:rPr>
      </w:pPr>
      <w:r>
        <w:rPr>
          <w:rFonts w:ascii="Times New Roman" w:hAnsi="Times New Roman"/>
          <w:sz w:val="20"/>
        </w:rPr>
        <w:t xml:space="preserve">(c) at or subsequent to such time that such stockholder became an Interested Stockholder, the Business Combination is approved by the Board and authorized at an annual or special meeting of stockholders by the affirmative vote of at least 66-2/3% of the voting power of all then-outstanding shares of capital stock of the Corporation which is not owned by such Interested Stockholder.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Corporate Opportunities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fullest extent permitted by applicable law (including, without limitation, Section 122(17) of the DGCL), (i) the Corporation, on behalf of itself and its subsidiaries, hereby renounces any interest, expectancy, co-participation rights or other rights of the Corporation or any of its subsidiaries in, or being offered any opportunity to participate in, any Specified Corporate Opportunity (as defined herein), even if such Specified Corporate Opportunity is one that the Corporation or any of its subsidiaries might reasonably be deemed to have pursued or had the ability or desire to pursue if offered or presented the opportunity to do so; (ii) no Covered Person (as defined herein)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no Covered Person shall have any duty to offer or communicate information regarding any Specified Corporate Opportunity to the Corporation or any of its subsidiaries and, to the fullest extent permitted by applicable law, shall not be liable to the Corporation or any of its subsidiaries for breach of any fiduciary duty, as a director, officer, controlling stockholder or otherwise, solely by reason of the fact that such Covered Person (1) pursues or acquires such Specified Corporate Opportunity for its own account or the account of American Securities or its Affiliates, (2) directs such Specified Corporate Opportunity to another person or entity or (3) fails to present such Specified Corporate Opportunity, or information regarding such Specified Corporate Opportunity, to the Corporation or any of its subsidiaries. For the avoidance of doubt, the foregoing provisions of this </w:t>
      </w:r>
      <w:r>
        <w:rPr>
          <w:rFonts w:ascii="Times New Roman" w:hAnsi="Times New Roman"/>
          <w:sz w:val="20"/>
          <w:u w:val="single"/>
        </w:rPr>
        <w:t>Section 9.4(a)</w:t>
      </w:r>
      <w:r>
        <w:rPr>
          <w:rFonts w:ascii="Times New Roman" w:hAnsi="Times New Roman"/>
          <w:sz w:val="20"/>
        </w:rPr>
        <w:t xml:space="preserve"> shall not apply to any business opportunity, potential transaction, interest or other matter that is offered or presented to any Covered Person solely in such Covered Person’s capacity as an officer, director or stockholder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(b) 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any person or entity purchasing or otherwise acquiring or holding any interest in any security of the Corporation shall be deemed to have notice of and consented to the provisions of this </w:t>
      </w:r>
      <w:r>
        <w:rPr>
          <w:rFonts w:ascii="Times New Roman" w:hAnsi="Times New Roman"/>
          <w:sz w:val="20"/>
          <w:u w:val="single"/>
        </w:rPr>
        <w:t>Section 9.4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9.4</w:t>
      </w:r>
      <w:r>
        <w:rPr>
          <w:rFonts w:ascii="Times New Roman" w:hAnsi="Times New Roman"/>
          <w:sz w:val="20"/>
        </w:rPr>
        <w:t xml:space="preserve"> shall have no further force or effect at such time as American Securities or its Affiliates shall first cease to beneficially own (within the meaning of Rules 13d-3 and 13d-5 under the Exchange Act), in the aggregate, at least 5% of the Corporation’s then-outstanding capital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termination shall be prospective only and shall not terminate the effect of the foregoing provisions of this </w:t>
      </w:r>
      <w:r>
        <w:rPr>
          <w:rFonts w:ascii="Times New Roman" w:hAnsi="Times New Roman"/>
          <w:sz w:val="20"/>
          <w:u w:val="single"/>
        </w:rPr>
        <w:t>Section 9.4</w:t>
      </w:r>
      <w:r>
        <w:rPr>
          <w:rFonts w:ascii="Times New Roman" w:hAnsi="Times New Roman"/>
          <w:sz w:val="20"/>
        </w:rPr>
        <w:t xml:space="preserve"> with respect to any Specified Corporate Opportunity that first arose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Designation of the Corporation as the Stockholders’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w:t>
      </w:r>
      <w:r>
        <w:rPr>
          <w:rFonts w:ascii="Times New Roman" w:hAnsi="Times New Roman"/>
          <w:sz w:val="20"/>
        </w:rPr>
        <w:t>. All right, title and interest of any stockholder to any and all lost merger premium damages if an agreement to acquire all or substantially all of the stock of the Corporation is breached by an intended acquirer (“</w:t>
      </w:r>
      <w:r>
        <w:rPr>
          <w:rFonts w:ascii="Times New Roman" w:hAnsi="Times New Roman"/>
          <w:b/>
          <w:sz w:val="20"/>
        </w:rPr>
        <w:t>Lost Premium Damages</w:t>
      </w:r>
      <w:r>
        <w:rPr>
          <w:rFonts w:ascii="Times New Roman" w:hAnsi="Times New Roman"/>
          <w:sz w:val="20"/>
        </w:rPr>
        <w:t xml:space="preserve">”) shall be payable to the Corporation (which the Corporation may distribute to stockholders if the Board approves such distribution), and the Corporation’s stockholders specifically designate the Corporation (or its designee) as their agent for the purpose of pursuing Lost Premium Damages claims on behalf of the Corporation’s stockholders.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and Consent</w:t>
      </w:r>
      <w:r>
        <w:rPr>
          <w:rFonts w:ascii="Times New Roman" w:hAnsi="Times New Roman"/>
          <w:sz w:val="20"/>
        </w:rPr>
        <w:t xml:space="preserve">. For the avoidance of doubt, any person or entity purchasing or otherwise acquiring or holding any interest in any security of the Corporation shall be deemed to have notice of and consented to the provisions of this </w:t>
      </w:r>
      <w:r>
        <w:rPr>
          <w:rFonts w:ascii="Times New Roman" w:hAnsi="Times New Roman"/>
          <w:sz w:val="20"/>
          <w:u w:val="single"/>
        </w:rPr>
        <w:t>Section 9.5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Amendment</w:t>
      </w:r>
      <w:r>
        <w:rPr>
          <w:rFonts w:ascii="Times New Roman" w:hAnsi="Times New Roman"/>
          <w:sz w:val="20"/>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w:t>
      </w:r>
      <w:r>
        <w:rPr>
          <w:rFonts w:ascii="Times New Roman" w:hAnsi="Times New Roman"/>
          <w:sz w:val="20"/>
          <w:u w:val="single"/>
        </w:rPr>
        <w:t>Section 9.6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amendment (including by merger, consolidation or otherwise) to this Certificate of Incorporation that gives holders of the Class B Common Stock (i) any rights to receive dividends or any other kind of distribution other than in connection with a liquidation, dissolution or winding-up pursuant to </w:t>
      </w:r>
      <w:r>
        <w:rPr>
          <w:rFonts w:ascii="Times New Roman" w:hAnsi="Times New Roman"/>
          <w:sz w:val="20"/>
          <w:u w:val="single"/>
        </w:rPr>
        <w:t>Section 4.3(c)</w:t>
      </w:r>
      <w:r>
        <w:rPr>
          <w:rFonts w:ascii="Times New Roman" w:hAnsi="Times New Roman"/>
          <w:sz w:val="20"/>
        </w:rPr>
        <w:t xml:space="preserve">, (ii) any right to convert into or be exchanged for Class A Common Stock or (iii) any other economic rights shall, in addition to the affirmative vote of at least a majority of the combined voting power of all then-outstanding shares of capital stock of the Corporation entitled to vote generally in the election of directors, voting together as a single class, also requires the affirmative vote of at least a majority of shares of Class A Common Stock voting separately as a class. Except as otherwise required by law, holders of Class A Common Stock and Class B Common Stock shall not be entitled to vote on any amendment to this Certificate of Incorporation (including any certificate of designation with respect to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with respect to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Severability</w:t>
      </w:r>
      <w:r>
        <w:rPr>
          <w:rFonts w:ascii="Times New Roman" w:hAnsi="Times New Roman"/>
          <w:sz w:val="20"/>
        </w:rPr>
        <w:t xml:space="preserve">.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Definitions</w:t>
      </w:r>
      <w:r>
        <w:rPr>
          <w:rFonts w:ascii="Times New Roman" w:hAnsi="Times New Roman"/>
          <w:sz w:val="20"/>
        </w:rPr>
        <w:t xml:space="preserve">. As used in this Certificate of Incorporation, the following terms shall have the following meaning: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Affiliate</w:t>
      </w:r>
      <w:r>
        <w:rPr>
          <w:rFonts w:ascii="Times New Roman" w:hAnsi="Times New Roman"/>
          <w:sz w:val="20"/>
        </w:rPr>
        <w:t xml:space="preserve">” has the meaning given to such term in Rule 12b-2 under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American Securities</w:t>
      </w:r>
      <w:r>
        <w:rPr>
          <w:rFonts w:ascii="Times New Roman" w:hAnsi="Times New Roman"/>
          <w:sz w:val="20"/>
        </w:rPr>
        <w:t xml:space="preserve">” means American Securities LLC, a Delaware limited liability company, certain of its Affiliates and any American Securities Related Party and its or their successors or assigns (other than the Corporation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American Securities Related Parties</w:t>
      </w:r>
      <w:r>
        <w:rPr>
          <w:rFonts w:ascii="Times New Roman" w:hAnsi="Times New Roman"/>
          <w:sz w:val="20"/>
        </w:rPr>
        <w:t xml:space="preserve">” means American Securities and its Permitted Transferees.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Associate</w:t>
      </w:r>
      <w:r>
        <w:rPr>
          <w:rFonts w:ascii="Times New Roman" w:hAnsi="Times New Roman"/>
          <w:sz w:val="20"/>
        </w:rPr>
        <w:t xml:space="preserve">”,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Business Combination</w:t>
      </w:r>
      <w:r>
        <w:rPr>
          <w:rFonts w:ascii="Times New Roman" w:hAnsi="Times New Roman"/>
          <w:sz w:val="20"/>
        </w:rPr>
        <w:t xml:space="preserve">” means (i) any merger or consolidation of the Corporation or any direct or indirect majority-owned subsidiary of the Corporation with the Interested Stockholder or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or more of either the aggregate market value of all the assets of the Corporation determined on a consolidated basis or the aggregate market value of all then-outstanding shares of capital stock of the Corporation.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Change of Control</w:t>
      </w:r>
      <w:r>
        <w:rPr>
          <w:rFonts w:ascii="Times New Roman" w:hAnsi="Times New Roman"/>
          <w:sz w:val="20"/>
        </w:rPr>
        <w:t xml:space="preserve">” means the occurrence of any of the following events: (i) any “person” or “group” (within the meaning of Sections 13(d) and 14(d) of the Exchange Act, but excluding any employee benefit plan of such person and its subsidiaries, and any person or entity acting in its capacity as trustee, agent or other fiduciary or administrator of any such plan)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50% of the combined voting power of all then-outstanding shares of capital stock of the Corporation entitled to vote in the election of directors, voting together as a single class; (ii) 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SOLV Energy Holdings LLC); (iii) 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voting securities representing more than 50% of the combined voting power of the outstanding voting securities of the Person resulting from such merger or consolidation or, if the surviving company is a subsidiary, the ultimate parent thereof; or (iv) the Corporation ceases to be the sole managing member of SOLV Energy Holdings LLC;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“Change of Control” shall not be deemed to have occurred by virtue of the consummation of any transaction or series of related transactions immediately following which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Control</w:t>
      </w:r>
      <w:r>
        <w:rPr>
          <w:rFonts w:ascii="Times New Roman" w:hAnsi="Times New Roman"/>
          <w:sz w:val="20"/>
        </w:rPr>
        <w:t xml:space="preserve">,”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b/>
          <w:sz w:val="20"/>
        </w:rPr>
        <w:t>Covered Person</w:t>
      </w:r>
      <w:r>
        <w:rPr>
          <w:rFonts w:ascii="Times New Roman" w:hAnsi="Times New Roman"/>
          <w:sz w:val="20"/>
        </w:rPr>
        <w:t xml:space="preserve">” means (i) American Securities or its Affiliates (other than the Corporation and its subsidiaries), (ii) any of its or their respective principals, members, partners, stockholders, directors, officers, employees or other representatives (other than any such Person who is also an employee of the Corporation or its subsidiaries) and (iii) any Person designated by American Securities to serve as a director of the Corporation.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Exchange Act</w:t>
      </w:r>
      <w:r>
        <w:rPr>
          <w:rFonts w:ascii="Times New Roman" w:hAnsi="Times New Roman"/>
          <w:sz w:val="20"/>
        </w:rPr>
        <w:t xml:space="preserve">” means the U.S. Securities Exchange Act of 1934, as amended, and any applicable rules and regulations promulgated thereunder, and any successor to such statute, rules or regulations.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Interested Stockholder</w:t>
      </w:r>
      <w:r>
        <w:rPr>
          <w:rFonts w:ascii="Times New Roman" w:hAnsi="Times New Roman"/>
          <w:sz w:val="20"/>
        </w:rPr>
        <w:t xml:space="preserve">” means any Person (other than the Corporation and any direct or indirect majority-owned subsidiary of the Corporation) that (i) is the beneficial owner of 15% or more of all then-outstanding shares of capital stock of the Corporation that are entitled to vote generally in the election of directors, voting together as a single class, or (ii) is an Affiliate of the Corporation and was the beneficial owner of 15% or more of the outstanding shares of capital stock of the Corporation that are entitled to vote generally in the election of directors, voting together as a single class, at any time within the three-year period immediately prior to the date on which it is sought to be determined whether such Person is an Interested Stockholder, and the Affiliates and Associates of such Person. Notwithstanding anything in this Article IX to the contrary, the term “Interested Stockholder” shall not include: (x) the American Securities Related Parties or any of their Affiliates or Associates, including any investment funds managed, directly or indirectly, by American Securities, or any other Person with whom any of the foregoing are acting as a group or in concert for the purpose of acquiring, holding, voting or disposing of shares of capital stock of the Corporation or (y) any other Person who acquires voting stock of the Corporation directly from an American Securities Related Party (excluding, for the avoidance of doubt, any Person who acquires voting stock of the Corporation through a broker’s transaction executed on any securities exchange or other over-the-counter market or pursuant to an underwritten public offering).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owner</w:t>
      </w:r>
      <w:r>
        <w:rPr>
          <w:rFonts w:ascii="Times New Roman" w:hAnsi="Times New Roman"/>
          <w:sz w:val="20"/>
        </w:rPr>
        <w:t xml:space="preserve">,” including the terms “own” and “owned,” when used with respect to any stock, means a Person that individually or with or through any of its Affiliates or associates: </w:t>
      </w:r>
    </w:p>
    <w:p>
      <w:pPr>
        <w:pStyle w:val="TextBody"/>
        <w:bidi w:val="0"/>
        <w:spacing w:before="120" w:after="0"/>
        <w:jc w:val="left"/>
        <w:rPr>
          <w:rFonts w:ascii="Times New Roman" w:hAnsi="Times New Roman"/>
          <w:sz w:val="20"/>
        </w:rPr>
      </w:pPr>
      <w:r>
        <w:rPr>
          <w:rFonts w:ascii="Times New Roman" w:hAnsi="Times New Roman"/>
          <w:sz w:val="20"/>
        </w:rPr>
        <w:t xml:space="preserve">(i) beneficially owns such stock, directly or indirectly; or </w:t>
      </w:r>
    </w:p>
    <w:p>
      <w:pPr>
        <w:pStyle w:val="TextBody"/>
        <w:bidi w:val="0"/>
        <w:spacing w:before="120" w:after="0"/>
        <w:jc w:val="left"/>
        <w:rPr>
          <w:rFonts w:ascii="Times New Roman" w:hAnsi="Times New Roman"/>
          <w:sz w:val="20"/>
        </w:rPr>
      </w:pPr>
      <w:r>
        <w:rPr>
          <w:rFonts w:ascii="Times New Roman" w:hAnsi="Times New Roman"/>
          <w:sz w:val="20"/>
        </w:rPr>
        <w:t xml:space="preserve">(ii) has (1)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owner of stock tendered pursuant to a tender or exchange offer made by such person or any of such Person’s Affiliates or associates until such tendered stock is accepted for purchase or exchange; or (2) the right to vote such stock pursuant to any agreement, arrangement or understanding;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 </w:t>
      </w:r>
    </w:p>
    <w:p>
      <w:pPr>
        <w:pStyle w:val="TextBody"/>
        <w:bidi w:val="0"/>
        <w:spacing w:before="120" w:after="0"/>
        <w:jc w:val="left"/>
        <w:rPr>
          <w:rFonts w:ascii="Times New Roman" w:hAnsi="Times New Roman"/>
          <w:sz w:val="20"/>
        </w:rPr>
      </w:pPr>
      <w:r>
        <w:rPr>
          <w:rFonts w:ascii="Times New Roman" w:hAnsi="Times New Roman"/>
          <w:sz w:val="20"/>
        </w:rPr>
        <w:t xml:space="preserve">(iii) has any agreement, arrangement or understanding for the purpose of acquiring, holding, voting (except voting pursuant to a revocable proxy or consent as described in item (2) of subsection (ii) above), or disposing of such stock with any other Person that beneficially owns, or whose Affiliates or associates beneficially own, directly or indirectly, such stock.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Person</w:t>
      </w:r>
      <w:r>
        <w:rPr>
          <w:rFonts w:ascii="Times New Roman" w:hAnsi="Times New Roman"/>
          <w:sz w:val="20"/>
        </w:rPr>
        <w:t xml:space="preserve">” means, except as otherwise provided in the definition of “Change of Control”, any individual, corporation, partnership, limited liability company,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Securities Act</w:t>
      </w:r>
      <w:r>
        <w:rPr>
          <w:rFonts w:ascii="Times New Roman" w:hAnsi="Times New Roman"/>
          <w:sz w:val="20"/>
        </w:rPr>
        <w:t xml:space="preserve">” means the U.S. Securities Act of 1933, as amended, and applicable rules and regulations promulgated thereunder, and any successor to such statute, rules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 “</w:t>
      </w:r>
      <w:r>
        <w:rPr>
          <w:rFonts w:ascii="Times New Roman" w:hAnsi="Times New Roman"/>
          <w:b/>
          <w:sz w:val="20"/>
        </w:rPr>
        <w:t>Specified Corporate Opportunity</w:t>
      </w:r>
      <w:r>
        <w:rPr>
          <w:rFonts w:ascii="Times New Roman" w:hAnsi="Times New Roman"/>
          <w:sz w:val="20"/>
        </w:rPr>
        <w:t xml:space="preserve">” means any business opportunity, potential transaction, interest or other matter that is offered or presented to any Covered Person other than any business opportunity, potential transaction, interest or other matter that is offered or presented to such Covered Person solely in such Covered Person’s capacity as an officer, director or stockholder of the Corporation.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stock</w:t>
      </w:r>
      <w:r>
        <w:rPr>
          <w:rFonts w:ascii="Times New Roman" w:hAnsi="Times New Roman"/>
          <w:sz w:val="20"/>
        </w:rPr>
        <w:t xml:space="preserve">” means, with respect to any corporation, capital stock and, with respect to any other entity, any equity interest.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voting stock</w:t>
      </w:r>
      <w:r>
        <w:rPr>
          <w:rFonts w:ascii="Times New Roman" w:hAnsi="Times New Roman"/>
          <w:sz w:val="20"/>
        </w:rPr>
        <w:t xml:space="preserve">”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Corporation has caused this Amended and Restated Certificate of Incorporation to be signed by a duly authorized officer of the Corporation on this day of February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Energy,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George Hershman</w:t>
            </w:r>
          </w:p>
          <w:p>
            <w:pPr>
              <w:pStyle w:val="TableContents"/>
              <w:bidi w:val="0"/>
              <w:spacing w:before="0" w:after="20"/>
              <w:jc w:val="left"/>
              <w:rPr>
                <w:rFonts w:ascii="Times New Roman" w:hAnsi="Times New Roman"/>
                <w:sz w:val="20"/>
              </w:rPr>
            </w:pPr>
            <w:r>
              <w:rPr>
                <w:rFonts w:ascii="Times New Roman" w:hAnsi="Times New Roman"/>
                <w:sz w:val="20"/>
              </w:rPr>
              <w:t>Name: George Hershman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Amended and Restated Certificate of Incorporation of </w:t>
      </w:r>
    </w:p>
    <w:p>
      <w:pPr>
        <w:pStyle w:val="TextBody"/>
        <w:bidi w:val="0"/>
        <w:spacing w:before="0" w:after="0"/>
        <w:jc w:val="center"/>
        <w:rPr>
          <w:rFonts w:ascii="Times New Roman" w:hAnsi="Times New Roman"/>
          <w:i/>
          <w:sz w:val="20"/>
        </w:rPr>
      </w:pPr>
      <w:r>
        <w:rPr>
          <w:rFonts w:ascii="Times New Roman" w:hAnsi="Times New Roman"/>
          <w:i/>
          <w:sz w:val="20"/>
        </w:rPr>
        <w:t xml:space="preserve">SOLV Energy, Inc. </w:t>
      </w:r>
    </w:p>
    <w:p>
      <w:pPr>
        <w:pStyle w:val="TextBody"/>
        <w:bidi w:val="0"/>
        <w:spacing w:before="0" w:after="0"/>
        <w:jc w:val="right"/>
        <w:rPr>
          <w:rFonts w:ascii="Times New Roman" w:hAnsi="Times New Roman"/>
          <w:b/>
          <w:sz w:val="20"/>
        </w:rPr>
      </w:pPr>
      <w:bookmarkStart w:id="44" w:name="d31834dex32.htm"/>
      <w:bookmarkStart w:id="45" w:name="ksd31834dex32"/>
      <w:bookmarkEnd w:id="44"/>
      <w:bookmarkEnd w:id="4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Place of Meetings</w:t>
      </w:r>
      <w:r>
        <w:rPr>
          <w:rFonts w:ascii="Times New Roman" w:hAnsi="Times New Roman"/>
          <w:sz w:val="20"/>
        </w:rPr>
        <w:t>. Meetings of the stockholders of SOLV Energy, Inc. (the “</w:t>
      </w:r>
      <w:r>
        <w:rPr>
          <w:rFonts w:ascii="Times New Roman" w:hAnsi="Times New Roman"/>
          <w:b/>
          <w:sz w:val="20"/>
        </w:rPr>
        <w:t>Corporation</w:t>
      </w:r>
      <w:r>
        <w:rPr>
          <w:rFonts w:ascii="Times New Roman" w:hAnsi="Times New Roman"/>
          <w:sz w:val="20"/>
        </w:rPr>
        <w:t>”) shall be held at such time and place, if any, either within or without the State of Delaware, as shall be designated from time to time by the board of directors of the Corporation (the “</w:t>
      </w:r>
      <w:r>
        <w:rPr>
          <w:rFonts w:ascii="Times New Roman" w:hAnsi="Times New Roman"/>
          <w:b/>
          <w:sz w:val="20"/>
        </w:rPr>
        <w:t>Board</w:t>
      </w:r>
      <w:r>
        <w:rPr>
          <w:rFonts w:ascii="Times New Roman" w:hAnsi="Times New Roman"/>
          <w:sz w:val="20"/>
        </w:rPr>
        <w:t>”). The Board may, in its sole discretion, determine that a meeting shall not be held at any place, but shall instead be held solely by means of remote communication in accordance with Section 211(a) of the General Corporation Law of the State of Delaware, as amended (the “</w:t>
      </w:r>
      <w:r>
        <w:rPr>
          <w:rFonts w:ascii="Times New Roman" w:hAnsi="Times New Roman"/>
          <w:b/>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Annual Meetings</w:t>
      </w:r>
      <w:r>
        <w:rPr>
          <w:rFonts w:ascii="Times New Roman" w:hAnsi="Times New Roman"/>
          <w:sz w:val="20"/>
        </w:rPr>
        <w:t>. The annual meeting of stockholders of the Corporation for the election of directors and for the transaction of such other business as may properly be brought before the meeting in accordance with these amended and restated bylaws of the Corporation (as amended from time to time in accordance with the provisions hereof, these “</w:t>
      </w:r>
      <w:r>
        <w:rPr>
          <w:rFonts w:ascii="Times New Roman" w:hAnsi="Times New Roman"/>
          <w:b/>
          <w:sz w:val="20"/>
        </w:rPr>
        <w:t>Bylaws</w:t>
      </w:r>
      <w:r>
        <w:rPr>
          <w:rFonts w:ascii="Times New Roman" w:hAnsi="Times New Roman"/>
          <w:sz w:val="20"/>
        </w:rPr>
        <w:t xml:space="preserve">”) shall be held on such date and at such time as may be designated from time to time by the Board. The Board may postpone, reschedule or cancel any annual meeting of stockholders previously scheduled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Special Meetings</w:t>
      </w:r>
      <w:r>
        <w:rPr>
          <w:rFonts w:ascii="Times New Roman" w:hAnsi="Times New Roman"/>
          <w:sz w:val="20"/>
        </w:rPr>
        <w:t>. Unless otherwise required by law or by the certificate of incorporation of the Corporation (including the terms of any certificate of designation with respect to any series of preferred stock), as amended and restated from time to time (the “</w:t>
      </w:r>
      <w:r>
        <w:rPr>
          <w:rFonts w:ascii="Times New Roman" w:hAnsi="Times New Roman"/>
          <w:b/>
          <w:sz w:val="20"/>
        </w:rPr>
        <w:t>Certificate of Incorporation</w:t>
      </w:r>
      <w:r>
        <w:rPr>
          <w:rFonts w:ascii="Times New Roman" w:hAnsi="Times New Roman"/>
          <w:sz w:val="20"/>
        </w:rPr>
        <w:t xml:space="preserve">”), special meetings of the stockholders of the Corporation, for any purpose or purposes, may be called only by the Chairperson of the Board, at least a majority of the Board, or the Chief Executive Officer of the Corporation, and the ability of the stockholders of the Corporation to call a special meeting of stockholders is hereby specifically denied.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at any time when American Securities Related Parties (as defined in the Certificate of Incorporation) beneficially own more than a majority of the combined voting power of all then-outstanding shares of capital stock of the Corporation, special meetings of the stockholders of the Corporation may be called only by the Chairperson of the Board, at least a majority of the Board, by the Chief Executive Officer of the Corporation, or by the Corporate Secretary of the Corporation at the request of the holders of at least a majority of the combined voting power of all then-outstanding shares of capital stock of the Corporation. At a special meeting of stockholders, only such business shall be conducted as shall be specified in the notice of meeting. The Chairperson of the Board or the Board may postpone, reschedule or cancel any special meeting of stockholders previously called by any of them.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w:t>
      </w:r>
      <w:r>
        <w:rPr>
          <w:rFonts w:ascii="Times New Roman" w:hAnsi="Times New Roman"/>
          <w:sz w:val="20"/>
        </w:rPr>
        <w:t>. Whenever stockholders of the Corporation are required or permitted to take any action at a meeting, a written notice of the meeting shall be given which shall state the place, if any, date and time of the meeting, the record date for determining the stockholders entitled to vote at the meeting, if such date is different from the record date for determining stockholders entitled to notice of meeting, the means of remote communications, if any, by which stockholders and proxy holders may be deemed present in person and vote at such meeting and, in the case of a special meeting, the purpose or purposes for which the meeting is called. Unless otherwise required by law or the Certificate of Incorporation, written notice of any meeting shall be given either personally, by mail or by electronic transmission (as defined below) (if permitted under the circumstances by the DGCL) not less than 10 nor more than 60 days before the date of the meeting, by or at the direction of the Chairperson of the Board, the Chief Executive Officer or the Board, to each stockholder entitled to vote at such meeting as of the record date for determining stockholders entitled to notice of the meeting. If mailed, such notice shall be deemed to be given when deposited in the United States mail with postage thereon prepaid, addressed to the stockholder at the stockholder’s address as it appears on the stock transfer books of the Corporation. If notice is given by means of electronic transmission, such notice shall be deemed to be given at the times provided in the DGCL. Any stockholder may waive notice of any meeting before or after the meeting. The attendance of a stockholder at any meeting shall constitute a waiver of notice of such meeting, except where the stockholder attends the meeting for the express purpose of objecting, and does so object, at the beginning of the meeting to the transaction of any business because the meeting is not lawfully called or convened. For the purposes of these Bylaws, “</w:t>
      </w:r>
      <w:r>
        <w:rPr>
          <w:rFonts w:ascii="Times New Roman" w:hAnsi="Times New Roman"/>
          <w:b/>
          <w:sz w:val="20"/>
        </w:rPr>
        <w:t>electronic transmission</w:t>
      </w:r>
      <w:r>
        <w:rPr>
          <w:rFonts w:ascii="Times New Roman" w:hAnsi="Times New Roman"/>
          <w:sz w:val="20"/>
        </w:rPr>
        <w:t xml:space="preserve">” means any form of communication, not directly involving the physical transmission of paper, that creates a record that may be retained, retrieved and reviewed by a recipient thereof and that may be directly reproduced in paper form by such a recipient through an automated process.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Adjournments</w:t>
      </w:r>
      <w:r>
        <w:rPr>
          <w:rFonts w:ascii="Times New Roman" w:hAnsi="Times New Roman"/>
          <w:sz w:val="20"/>
        </w:rPr>
        <w:t xml:space="preserve">. Any meeting of stockholders of the Corporation may be adjourned or recessed from time to time to reconvene at the same or some other place, if any, by holders of at least a majority of the combined voting power of the shares of capital stock of the Corporation issued and outstanding and entitled to vote thereat, present in person or represented by proxy, though less than a quorum, or by any officer entitled to preside at or to act as secretary of such meeting, and notice need not be given of any such adjourned or recessed meeting (including an adjournment taken to address a technical failure to convene or continue a meeting using remote communication) if the time and place, if any, thereof, and the means of remote communication, if any, by which stockholders and proxy holders may be deemed to be present in person or represented by proxy and vote at such adjourned or recessed meeting, are (a) announced at the meeting at which the adjournment or recess is taken, (b) displayed during the time scheduled for the meeting, on the same electronic network used to enable stockholders and proxy holders to participate in the meeting by means of remote communication or (c) set forth in the notice of meeting given in accordance with these Bylaws. At the adjourned or recessed meeting, the Corporation may transact any business that might have been transacted at the original meeting. If the adjournment is for more than 30 days, notice of the adjourned meeting in accordance with the requirements of </w:t>
      </w:r>
      <w:r>
        <w:rPr>
          <w:rFonts w:ascii="Times New Roman" w:hAnsi="Times New Roman"/>
          <w:sz w:val="20"/>
          <w:u w:val="single"/>
        </w:rPr>
        <w:t>Section 1.4</w:t>
      </w:r>
      <w:r>
        <w:rPr>
          <w:rFonts w:ascii="Times New Roman" w:hAnsi="Times New Roman"/>
          <w:sz w:val="20"/>
        </w:rPr>
        <w:t xml:space="preserve"> of these Bylaws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Quorum</w:t>
      </w:r>
      <w:r>
        <w:rPr>
          <w:rFonts w:ascii="Times New Roman" w:hAnsi="Times New Roman"/>
          <w:sz w:val="20"/>
        </w:rPr>
        <w:t xml:space="preserve">. Unless otherwise required by applicable law or the Certificate of Incorporation, the holders of at least a majority of the combined voting power of the Corporation’s then-outstanding shares of capital stock issued and entitled to vote thereat, present in person, present by means of remote communication, if any, or represented by proxy, shall constitute a quorum at a meeting of stockholders. Where a separate vote by a class or classes or series is required, at least a majority of the voting power of the shares of such class or classes or series present in person, present by means of remote communication, if any, or represented by proxy shall constitute a quorum entitled to take action with respect to such vote. If a quorum shall not be present or represented at any meeting of stockholders, either the chairperson of the meeting or the stockholders entitled to vote thereat, present in person or represented by proxy, shall have power to adjourn the meeting from time to time, in the manner provided in </w:t>
      </w:r>
      <w:r>
        <w:rPr>
          <w:rFonts w:ascii="Times New Roman" w:hAnsi="Times New Roman"/>
          <w:sz w:val="20"/>
          <w:u w:val="single"/>
        </w:rPr>
        <w:t>Section 1.5</w:t>
      </w:r>
      <w:r>
        <w:rPr>
          <w:rFonts w:ascii="Times New Roman" w:hAnsi="Times New Roman"/>
          <w:sz w:val="20"/>
        </w:rPr>
        <w:t xml:space="preserve"> of these Bylaws, until a quorum shall be present or represented. A quorum, once established, shall not be broken by the withdrawal of enough votes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Except as provided in the Certificate of Incorporation, every stockholder having the right to vote shall have one vote for each share of stock having voting power registered in such stockholder’s name on the books of the Corporation. Such votes may be cast in person, by means of remote communication (if any) or by proxy as provided in </w:t>
      </w:r>
      <w:r>
        <w:rPr>
          <w:rFonts w:ascii="Times New Roman" w:hAnsi="Times New Roman"/>
          <w:sz w:val="20"/>
          <w:u w:val="single"/>
        </w:rPr>
        <w:t>Section 1.10</w:t>
      </w:r>
      <w:r>
        <w:rPr>
          <w:rFonts w:ascii="Times New Roman" w:hAnsi="Times New Roman"/>
          <w:sz w:val="20"/>
        </w:rPr>
        <w:t xml:space="preserve"> of these Bylaws. The Board, in its discretion, or the officer of the Corporation presiding at a meeting of stockholders, in such officer’s discretion, may require that any votes cast at such meeting shall be cast by written ballot.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Matters Other Than Election of Directors</w:t>
      </w:r>
      <w:r>
        <w:rPr>
          <w:rFonts w:ascii="Times New Roman" w:hAnsi="Times New Roman"/>
          <w:sz w:val="20"/>
        </w:rPr>
        <w:t xml:space="preserve">. Any matter brought before any meeting of stockholders of the Corporation, other than the election of directors, shall be decided by the affirmative vote of the holders of at least a majority of the voting power of the shares of capital stock of the Corporation present in person, present by means of remote communication, if any, or represented by proxy at the meeting and entitled to vote on such matter, voting as a single class, unless the matter is one upon which, by express provision of law, the Certificate of Incorporation or these Bylaws, a different vote is required, in which case such express provision shall govern and control the decision of such matter.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Election of Directors</w:t>
      </w:r>
      <w:r>
        <w:rPr>
          <w:rFonts w:ascii="Times New Roman" w:hAnsi="Times New Roman"/>
          <w:sz w:val="20"/>
        </w:rPr>
        <w:t xml:space="preserve">. Subject to the rights of the holders of any series of preferred stock to elect directors under specified circumstances, directors shall be elected by the vote of a plurality of the votes cast by the holders of shares present in person or represented by proxy at the meeting and entitled to vote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Voting of Stock of Certain Holders</w:t>
      </w:r>
      <w:r>
        <w:rPr>
          <w:rFonts w:ascii="Times New Roman" w:hAnsi="Times New Roman"/>
          <w:sz w:val="20"/>
        </w:rPr>
        <w:t xml:space="preserve">. Shares of stock of the Corporation standing in the name of another corporation or entity, domestic or foreign, and entitled to vote may be voted by such officer, agent or proxy as the bylaws or other internal regulations of such corporation or entity may prescribe or, in the absence of such provision, as the board of directors or comparable body of such corporation or entity may determine. Shares of stock of the Corporation standing in the name of a deceased person, a minor, an incompetent or a debtor in a case under Title 11, United States Code, and entitled to vote may be voted by an administrator, executor, guardian, conservator, debtor-in-possession or trustee, as the case may be, either in person or by proxy, without transfer of such shares into the name of the official or other person so voting. A stockholder whose shares of stock of the Corporation are pledged shall be entitled to vote such shares, unless on the transfer records of the Corporation such stockholder has expressly empowered the pledgee to vote such shares, in which case only the pledgee, or the pledgee’s proxy, may vote such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Treasury Stock</w:t>
      </w:r>
      <w:r>
        <w:rPr>
          <w:rFonts w:ascii="Times New Roman" w:hAnsi="Times New Roman"/>
          <w:sz w:val="20"/>
        </w:rPr>
        <w:t xml:space="preserve">. Shares of stock of the Corporation belonging to the Corporation, or to another corporation a majority of the shares entitled to vote in the election of directors of which are held by the Corporation, shall not be voted at any meeting of stockholders of the Corporation and shall not be counted in the total number of outstanding shares for the purpose of determining whether a quorum is present. Nothing in this </w:t>
      </w:r>
      <w:r>
        <w:rPr>
          <w:rFonts w:ascii="Times New Roman" w:hAnsi="Times New Roman"/>
          <w:sz w:val="20"/>
          <w:u w:val="single"/>
        </w:rPr>
        <w:t>Section 1.9</w:t>
      </w:r>
      <w:r>
        <w:rPr>
          <w:rFonts w:ascii="Times New Roman" w:hAnsi="Times New Roman"/>
          <w:sz w:val="20"/>
        </w:rPr>
        <w:t xml:space="preserve"> shall limit the right of the Corporation to vote shares of stock of the Corporation held by it in a fiduciary capacity.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Proxies</w:t>
      </w:r>
      <w:r>
        <w:rPr>
          <w:rFonts w:ascii="Times New Roman" w:hAnsi="Times New Roman"/>
          <w:sz w:val="20"/>
        </w:rPr>
        <w:t xml:space="preserve">. Each stockholder entitled to vote at a meeting of stockholders of the Corporation may authorize another person or persons to act for such stockholder by proxy filed with the Secretary before or at the time of the meeting.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Any stockholder directly or indirectly soliciting proxies from other stockholders may use any proxy card color other than white, which shall be reserved for exclusive use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Consent of Stockholders in Lieu of Meeting</w:t>
      </w:r>
      <w:r>
        <w:rPr>
          <w:rFonts w:ascii="Times New Roman" w:hAnsi="Times New Roman"/>
          <w:sz w:val="20"/>
        </w:rPr>
        <w:t xml:space="preserve">. In addition to as otherwise expressly provided by the terms of any series of preferred stock permitting the holders of such series of preferred stock to act by written consent or as provided by the terms of the Certificate of Incorporation, any action required or permitted to be taken by the stockholders of the Corporation must be effected at a duly called annual or special meeting of the stockholders of the Corporation and may not be effected by written consent in lieu of a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any time when American Securities Related Parties (as defined in the Certificate of Incorporation) beneficially own at least a majority of the combined voting power of all then-outstanding shares of capital stock of the Corporation, any action required or permitted to be taken at any annual or special meeting of stockholders may be taken without a meeting, without prior notice and without a vote, if a consent or consents in writing, setting forth the action so taken, are (a) signed by the holders of outstanding shares of the relevant class(es) or series of stock of the Corporation representing not less than the minimum number of votes that would be necessary to authorize or take such action at a meeting at which all shares of stock of the Corporation then issued and outstanding (other than treasury stock) entitled to vote thereon were present and voted, and (b) delivered to the Corporation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List of Stockholders Entitled to Vote</w:t>
      </w:r>
      <w:r>
        <w:rPr>
          <w:rFonts w:ascii="Times New Roman" w:hAnsi="Times New Roman"/>
          <w:sz w:val="20"/>
        </w:rPr>
        <w:t>. The officer of the Corporation who has charge of the stock ledger of the Corporation shall prepare and make or have prepared and made, at least 10 days before every meeting of stockholders of the Corporation, a complete list of the stockholders entitled to vote at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record date for determining the stockholders entitled to vote is less than 10 days before the meeting date, the list shall reflect the stockholders entitled to vote as of the 10th day before the meeting date), arranged in alphabetical order, and showing the address of each stockholder and the number of shares registered in the name of each stockholder. Nothing in this </w:t>
      </w:r>
      <w:r>
        <w:rPr>
          <w:rFonts w:ascii="Times New Roman" w:hAnsi="Times New Roman"/>
          <w:sz w:val="20"/>
          <w:u w:val="single"/>
        </w:rPr>
        <w:t>Section 1.12</w:t>
      </w:r>
      <w:r>
        <w:rPr>
          <w:rFonts w:ascii="Times New Roman" w:hAnsi="Times New Roman"/>
          <w:sz w:val="20"/>
        </w:rPr>
        <w:t xml:space="preserve"> shall require the Corporation to include electronic mail addresses or other electronic contact information on such list. Such list shall be open to the examination of any stockholder for any purpose germane to the meeting for a period of at least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Record Date</w:t>
      </w:r>
      <w:r>
        <w:rPr>
          <w:rFonts w:ascii="Times New Roman" w:hAnsi="Times New Roman"/>
          <w:sz w:val="20"/>
        </w:rPr>
        <w:t xml:space="preserve">. In order that the Corporation may determine the stockholders entitled to notice of any meeting of stockholders of the Corporation or any adjournment thereof, the Board may fix a record date, which record date shall not precede the date upon which the resolution fixing the record date is adopted by the Board, and which record date shall not be more than 60 days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but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hAnsi="Times New Roman"/>
          <w:sz w:val="20"/>
          <w:u w:val="single"/>
        </w:rPr>
        <w:t>Section 1.13</w:t>
      </w:r>
      <w:r>
        <w:rPr>
          <w:rFonts w:ascii="Times New Roman" w:hAnsi="Times New Roman"/>
          <w:sz w:val="20"/>
        </w:rPr>
        <w:t xml:space="preserve">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Organization and Conduct of Meetings</w:t>
      </w:r>
      <w:r>
        <w:rPr>
          <w:rFonts w:ascii="Times New Roman" w:hAnsi="Times New Roman"/>
          <w:sz w:val="20"/>
        </w:rPr>
        <w:t xml:space="preserve">. The Chairperson of the Board shall act as chairperson of meetings of stockholders of the Corporation. The Board may designate any director or officer of the Corporation to act as chairperson of any meeting in the absence of the Chairperson of the Board, and only the Board may further provide for determining who shall act as chairperson of any meeting of stockholders in the absence of the Chairperson of the Board and such designee. The Board may adopt by resolution such rules, regulations and procedures for the conduct of any meeting of stockholders as it shall deem appropriate. Except to the extent inconsistent with such rules, regulations and procedures as adopted by the Board, the chairperson of any meeting of stockholders shall have the right and authority to convene and (for any or no reason) to recess or adjourn the meeting, to prescribe such rules, regulations and procedures and to do all such acts as, in the judgment of such chairperson, are necessary, appropriate or convenient for the proper conduct of the meeting. Such rules, regulations or procedures, whether adopted by the Board or prescribed by the chairperson of the meeting, may include the following: (a) the establishment of an agenda or order of business for the meeting; (b) the determination of when the polls shall open and close for any given matter to be voted on at the meeting; (c) rules, regulations and procedures for maintaining order at the meeting and the safety of those present; (d) limitations on attendance at or participation in the meeting to stockholders of record of the Corporation, their duly authorized proxies or such other persons as the chairperson of the meeting shall determine; (e) restrictions on entry to the meeting after the time fixed for the commencement of the meeting; (f) limitations on the time allotted to, and the number of questions or comments permitted to be made by participants; (g) removal of any stockholder or any other individual who refuses to comply with meeting rules, regulations or procedures; (h) the conclusion, recess or adjournment of the meeting, regardless of whether a quorum is present, to a later date and time and at a place, if any, announced at the meeting; (i) restrictions on the use of audio and video recording devices, cell phones and other electronic devices; (j) rules, regulations or procedures for compliance with any state or local laws or regulations including those concerning safety, health and security; (k) procedures (if any) requiring attendees to provide the Corporation advance notice of their intent to attend the meeting and (l) any rules, regulations or procedures as the chairperson may deem appropriate regarding the participation by means of remote communication of stockholders and proxyholders not physically present at a meeting, whether such meeting is to be held at a designated place or solely by means of remote communication. The chairperson of a stockholder meeting, in addition to making any other determinations that may be appropriate regarding the conduct of the meeting, shall determine and declare to the meeting that a matter of business was not properly brought before the meeting, and, if the chairperson (or the Board in advance of any meeting) should so determine, the chairperson (or the Board) shall so declare to the meeting and any such matter of business not properly brought before the meeting shall not be transacted or considered. Except to the extent determined by the Board or the person presiding at the meeting, meetings of stockholders shall not be required to be held in accordance with the rules of parliamentary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Inspectors of Election</w:t>
      </w:r>
      <w:r>
        <w:rPr>
          <w:rFonts w:ascii="Times New Roman" w:hAnsi="Times New Roman"/>
          <w:sz w:val="20"/>
        </w:rPr>
        <w:t xml:space="preserve">. In advance of any meeting of stockholders of the Corporation, the Chairperson of the Board, the Chief Executive Officer or the Board, by resolution, shall appoint one or more inspectors to act at the meeting and make a written report thereof. One or more other persons may be designated as alternate inspectors to replace any inspector who fails to act. If no inspector or alternate is able to act at a meeting of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1.16. Notice of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Nominations of persons for election to the Board and the proposal of business other than nominations to be considered by the stockholders may be made at an annual meeting of stockholders only: (i) pursuant to the Corporation’s notice of meeting (or any supplement thereto) with respect to such annual meeting given by or at the direction of the Board (or any duly authorized committee thereof); (ii) as otherwise properly brought before such annual meeting by or at the direction of the Board (or any duly authorized committee thereof); or (iii) by any stockholder of the Corporation who (A) is a stockholder of record at the time of the giving of the notice provided for in this </w:t>
      </w:r>
      <w:r>
        <w:rPr>
          <w:rFonts w:ascii="Times New Roman" w:hAnsi="Times New Roman"/>
          <w:sz w:val="20"/>
          <w:u w:val="single"/>
        </w:rPr>
        <w:t>Section 1.16</w:t>
      </w:r>
      <w:r>
        <w:rPr>
          <w:rFonts w:ascii="Times New Roman" w:hAnsi="Times New Roman"/>
          <w:sz w:val="20"/>
        </w:rPr>
        <w:t xml:space="preserve"> through the date of such annual meeting, (B) is entitled to vote at such annual meeting and (C) complies with the notice procedures set forth in this </w:t>
      </w:r>
      <w:r>
        <w:rPr>
          <w:rFonts w:ascii="Times New Roman" w:hAnsi="Times New Roman"/>
          <w:sz w:val="20"/>
          <w:u w:val="single"/>
        </w:rPr>
        <w:t>Section 1.16</w:t>
      </w:r>
      <w:r>
        <w:rPr>
          <w:rFonts w:ascii="Times New Roman" w:hAnsi="Times New Roman"/>
          <w:sz w:val="20"/>
        </w:rPr>
        <w:t>. For the avoidance of doubt, compliance with the foregoing clause (iii) shall be the exclusive means for a stockholder to make nominations, or to propose any other business (other than a proposal included in the Corporation’s proxy materials pursuant to and in compliance with Rule 14a-8 under the Securities Exchange Act of 1934, as amended (such act, and the rules and regulations promulgated thereunder, the “</w:t>
      </w:r>
      <w:r>
        <w:rPr>
          <w:rFonts w:ascii="Times New Roman" w:hAnsi="Times New Roman"/>
          <w:b/>
          <w:sz w:val="20"/>
        </w:rPr>
        <w:t>Exchange Act</w:t>
      </w:r>
      <w:r>
        <w:rPr>
          <w:rFonts w:ascii="Times New Roman" w:hAnsi="Times New Roman"/>
          <w:sz w:val="20"/>
        </w:rPr>
        <w:t xml:space="preserve">”)), at an annual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Timing of Notice for Annual Meetings</w:t>
      </w:r>
      <w:r>
        <w:rPr>
          <w:rFonts w:ascii="Times New Roman" w:hAnsi="Times New Roman"/>
          <w:sz w:val="20"/>
        </w:rPr>
        <w:t xml:space="preserve">. In addition to any other applicable requirements, for nominations or other business to be properly brought before an annual meeting by a stockholder pursuant to </w:t>
      </w:r>
      <w:r>
        <w:rPr>
          <w:rFonts w:ascii="Times New Roman" w:hAnsi="Times New Roman"/>
          <w:sz w:val="20"/>
          <w:u w:val="single"/>
        </w:rPr>
        <w:t>Section 1.16(c)(iii)</w:t>
      </w:r>
      <w:r>
        <w:rPr>
          <w:rFonts w:ascii="Times New Roman" w:hAnsi="Times New Roman"/>
          <w:sz w:val="20"/>
        </w:rPr>
        <w:t xml:space="preserve"> above, the stockholder must have given timely notice thereof in proper written form to the Secretary, and, in the case of business other than nominations, such business must be a proper matter for stockholder action. To be timely, such notice must be received by the Secretary at the principal executive offices of the Corporation not later than the Close of Business on the 90th day, or earlier than the 120th day, prior to the first anniversary of the date of the preceding year’s annual meeting of stockholders (which prior year’s annual meeting shall, for purposes of the Corporation’s first annual meeting of stockholders held in 2027, if any, be deemed to have occurred on May 18, 2026);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date of the annual meeting of stockholders is more than 30 days prior to, or more than 60 days after, the first anniversary of the date of the preceding year’s annual meeting or if no annual meeting was held in the preceding year, to be timely, a stockholder’s notice must be so received not earlier than the 120th day prior to such annual meeting and not later than the Close of Business on the later of (i) the 90th day prior to such annual meeting and (ii) the 10th day following the day on which public disclosure (as defined below) of the date of the meeting is first made by the Corporation. In no event shall the adjournment, recess, postponement, judicial stay or rescheduling of an annual meeting (or the public disclosure thereof) commence a new time period (or extend any time period) for the giving of notice as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of Notice</w:t>
      </w:r>
      <w:r>
        <w:rPr>
          <w:rFonts w:ascii="Times New Roman" w:hAnsi="Times New Roman"/>
          <w:sz w:val="20"/>
        </w:rPr>
        <w:t xml:space="preserve">. To be in proper written form, the notice of any stockholder of record giving notice under this </w:t>
      </w:r>
      <w:r>
        <w:rPr>
          <w:rFonts w:ascii="Times New Roman" w:hAnsi="Times New Roman"/>
          <w:sz w:val="20"/>
          <w:u w:val="single"/>
        </w:rPr>
        <w:t>Section 1.16</w:t>
      </w:r>
      <w:r>
        <w:rPr>
          <w:rFonts w:ascii="Times New Roman" w:hAnsi="Times New Roman"/>
          <w:sz w:val="20"/>
        </w:rPr>
        <w:t xml:space="preserve"> (each, a “</w:t>
      </w:r>
      <w:r>
        <w:rPr>
          <w:rFonts w:ascii="Times New Roman" w:hAnsi="Times New Roman"/>
          <w:b/>
          <w:sz w:val="20"/>
        </w:rPr>
        <w:t>Noticing Party</w:t>
      </w:r>
      <w:r>
        <w:rPr>
          <w:rFonts w:ascii="Times New Roman" w:hAnsi="Times New Roman"/>
          <w:sz w:val="20"/>
        </w:rPr>
        <w:t xml:space="preserve">”) must set forth: </w:t>
      </w:r>
    </w:p>
    <w:p>
      <w:pPr>
        <w:pStyle w:val="TextBody"/>
        <w:bidi w:val="0"/>
        <w:spacing w:before="120" w:after="0"/>
        <w:jc w:val="left"/>
        <w:rPr>
          <w:rFonts w:ascii="Times New Roman" w:hAnsi="Times New Roman"/>
          <w:sz w:val="20"/>
        </w:rPr>
      </w:pPr>
      <w:r>
        <w:rPr>
          <w:rFonts w:ascii="Times New Roman" w:hAnsi="Times New Roman"/>
          <w:sz w:val="20"/>
        </w:rPr>
        <w:t>(i) as to each person whom such Noticing Party proposes to nominate for election or reelection as a director (each, a “</w:t>
      </w:r>
      <w:r>
        <w:rPr>
          <w:rFonts w:ascii="Times New Roman" w:hAnsi="Times New Roman"/>
          <w:b/>
          <w:sz w:val="20"/>
        </w:rPr>
        <w:t>Proposed Nominee</w:t>
      </w:r>
      <w:r>
        <w:rPr>
          <w:rFonts w:ascii="Times New Roman" w:hAnsi="Times New Roman"/>
          <w:sz w:val="20"/>
        </w:rPr>
        <w:t xml:space="preserve">”), if any: </w:t>
      </w:r>
    </w:p>
    <w:p>
      <w:pPr>
        <w:pStyle w:val="TextBody"/>
        <w:bidi w:val="0"/>
        <w:spacing w:before="120" w:after="0"/>
        <w:jc w:val="left"/>
        <w:rPr>
          <w:rFonts w:ascii="Times New Roman" w:hAnsi="Times New Roman"/>
          <w:sz w:val="20"/>
        </w:rPr>
      </w:pPr>
      <w:r>
        <w:rPr>
          <w:rFonts w:ascii="Times New Roman" w:hAnsi="Times New Roman"/>
          <w:sz w:val="20"/>
        </w:rPr>
        <w:t xml:space="preserve">(A) the name, age, business address and residential address of such Proposed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principal occupation and employment of such Proposed Nominee; </w:t>
      </w:r>
    </w:p>
    <w:p>
      <w:pPr>
        <w:pStyle w:val="TextBody"/>
        <w:bidi w:val="0"/>
        <w:spacing w:before="120" w:after="0"/>
        <w:jc w:val="left"/>
        <w:rPr>
          <w:rFonts w:ascii="Times New Roman" w:hAnsi="Times New Roman"/>
          <w:sz w:val="20"/>
        </w:rPr>
      </w:pPr>
      <w:r>
        <w:rPr>
          <w:rFonts w:ascii="Times New Roman" w:hAnsi="Times New Roman"/>
          <w:sz w:val="20"/>
        </w:rPr>
        <w:t xml:space="preserve">(C) a written questionnaire with respect to the background and qualifications of such Proposed Nominee, completed by such Proposed Nominee in the form required by the Corporation (which form such Noticing Party shall request in writing from the Secretary and which the Secretary shall provide to such Noticing Party within 10 days after receiving such request); </w:t>
      </w:r>
    </w:p>
    <w:p>
      <w:pPr>
        <w:pStyle w:val="TextBody"/>
        <w:bidi w:val="0"/>
        <w:spacing w:before="120" w:after="0"/>
        <w:jc w:val="left"/>
        <w:rPr>
          <w:rFonts w:ascii="Times New Roman" w:hAnsi="Times New Roman"/>
          <w:sz w:val="20"/>
        </w:rPr>
      </w:pPr>
      <w:r>
        <w:rPr>
          <w:rFonts w:ascii="Times New Roman" w:hAnsi="Times New Roman"/>
          <w:sz w:val="20"/>
        </w:rPr>
        <w:t>(D) a written representation and agreement completed by such Proposed Nominee in the form required by the Corporation (which form such Noticing Party shall request in writing from the Secretary and which the Secretary shall provide to such Noticing Party within 10 days after receiving such request) providing that such Proposed Nominee: (I) is not and will not become a party to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hAnsi="Times New Roman"/>
          <w:b/>
          <w:sz w:val="20"/>
        </w:rPr>
        <w:t>Voting Commitment</w:t>
      </w:r>
      <w:r>
        <w:rPr>
          <w:rFonts w:ascii="Times New Roman" w:hAnsi="Times New Roman"/>
          <w:sz w:val="20"/>
        </w:rPr>
        <w:t xml:space="preserve">”)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with respect to the Corporation that has not been disclosed to the Corporation; (III) will, if elected as a director of the Corporation, comply with all applicable rules of any securities exchanges upon which the Corporation’s securities are listed, the Certificate of Incorporation, these Bylaws, all applicable publicly disclosed corporate governance, ethics, conflict of interest, confidentiality, stock ownership and trading policies and all other guidelines and policies of the Corporation generally applicable to directors (which other guidelines and policies will be provided to such Proposed Nominee within five business days after the Secretary receives any written request therefor from such Proposed Nominee), and all applicable fiduciary duties under state law; (IV) consents to being named as a nominee in the Corporation’s proxy statement and form of proxy for the meeting and consents to public disclosure of information regarding or relating to such Proposed Nominee provided to the Corporation by such Proposed Nominee or otherwise pursuant to these Bylaws; (V) intends to serve a full term as a director of the Corporation, if elected; and (VI) will provide facts, statements and other information in all communications with the Corporation and its stockholders that are or will be true and correct in all material respects and that do not and will not omit to state any fact necessary in order to make the statements made, in light of the circumstances under which they are made, not misleading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(E) a description of all direct and indirect compensation and other material monetary agreements, arrangements or understandings, written or oral, during the past three years, and any other material relationships, between or among such Proposed Nominee, on the one hand, and any Noticing Party or any Stockholder Associated Person (as defined below) (other than such Proposed Nominee), on the other hand, or that such Proposed Nominee knows any of such Proposed Nominee’s associates (as defined below) has with any Noticing Party or any Stockholder Associated Person, including all information that would be required to be disclosed pursuant to Item 404 promulgated under Regulation S-K as if such Noticing Party and any Stockholder Associated Person (other than the Proposed Nominee) were the “registrant” for purposes of such rule and the Proposed Nominee were a director or executive officer of such registrant;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description of any business or personal interests that would reasonably be expected to place such Proposed Nominee in a potential conflict of interest with the Corporation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the date(s) of first contact between the Noticing Party or any Stockholder Associated Person, on the one hand, and the Proposed Nominee, on the other hand, with respect to any proposed nomination(s) of any person(s) (including the Proposed Nominee) for election as a director of the Corporation; and </w:t>
      </w:r>
    </w:p>
    <w:p>
      <w:pPr>
        <w:pStyle w:val="TextBody"/>
        <w:bidi w:val="0"/>
        <w:spacing w:before="120" w:after="0"/>
        <w:jc w:val="left"/>
        <w:rPr>
          <w:rFonts w:ascii="Times New Roman" w:hAnsi="Times New Roman"/>
          <w:sz w:val="20"/>
        </w:rPr>
      </w:pPr>
      <w:r>
        <w:rPr>
          <w:rFonts w:ascii="Times New Roman" w:hAnsi="Times New Roman"/>
          <w:sz w:val="20"/>
        </w:rPr>
        <w:t>(H) all other information relating to such Proposed Nominee or such Proposed Nominee’s associates that would be required to be disclosed in a proxy statement by such Noticing Party or any Stockholder Associated Person in connection with the solicitation of proxies for the election of directors in a contested election or otherwise required pursuant to Section 14 of the Exchange Act (collectively, the “</w:t>
      </w:r>
      <w:r>
        <w:rPr>
          <w:rFonts w:ascii="Times New Roman" w:hAnsi="Times New Roman"/>
          <w:b/>
          <w:sz w:val="20"/>
        </w:rPr>
        <w:t>Proxy Rules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as to any other business that such Noticing Party proposes to bring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(A) a description of the business desired to be brought before the meeting and the reasons for conducting such business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(B) the text of the proposal or business (including the complete text of any resolutions proposed for consideration and, in the event that such business includes a proposal to amend the Certificate of Incorporation or these Bylaws, the text of the proposed amendment); and </w:t>
      </w:r>
    </w:p>
    <w:p>
      <w:pPr>
        <w:pStyle w:val="TextBody"/>
        <w:bidi w:val="0"/>
        <w:spacing w:before="120" w:after="0"/>
        <w:jc w:val="left"/>
        <w:rPr>
          <w:rFonts w:ascii="Times New Roman" w:hAnsi="Times New Roman"/>
          <w:sz w:val="20"/>
        </w:rPr>
      </w:pPr>
      <w:r>
        <w:rPr>
          <w:rFonts w:ascii="Times New Roman" w:hAnsi="Times New Roman"/>
          <w:sz w:val="20"/>
        </w:rPr>
        <w:t xml:space="preserve">(C) all other information relating to such business that would be required to be disclosed in a proxy statement by such Noticing Party or any Stockholder Associated Person in connection with the solicitation of proxies in support of such proposed business or otherwise required pursuant to the Proxy Rules; and </w:t>
      </w:r>
    </w:p>
    <w:p>
      <w:pPr>
        <w:pStyle w:val="TextBody"/>
        <w:bidi w:val="0"/>
        <w:spacing w:before="120" w:after="0"/>
        <w:jc w:val="left"/>
        <w:rPr>
          <w:rFonts w:ascii="Times New Roman" w:hAnsi="Times New Roman"/>
          <w:sz w:val="20"/>
        </w:rPr>
      </w:pPr>
      <w:r>
        <w:rPr>
          <w:rFonts w:ascii="Times New Roman" w:hAnsi="Times New Roman"/>
          <w:sz w:val="20"/>
        </w:rPr>
        <w:t xml:space="preserve">(iii) as to such Noticing Party and each Stockholder Associated Person: </w:t>
      </w:r>
    </w:p>
    <w:p>
      <w:pPr>
        <w:pStyle w:val="TextBody"/>
        <w:bidi w:val="0"/>
        <w:spacing w:before="120" w:after="0"/>
        <w:jc w:val="left"/>
        <w:rPr>
          <w:rFonts w:ascii="Times New Roman" w:hAnsi="Times New Roman"/>
          <w:sz w:val="20"/>
        </w:rPr>
      </w:pPr>
      <w:r>
        <w:rPr>
          <w:rFonts w:ascii="Times New Roman" w:hAnsi="Times New Roman"/>
          <w:sz w:val="20"/>
        </w:rPr>
        <w:t xml:space="preserve">(A) the name and address of such Noticing Party and each Stockholder Associated Person (including, as applicable, as they appear on the Corporation’s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(B) the class, series and number of shares of each class or series of capital stock (if any) of the Corporation that are, directly or indirectly, owned beneficially or of record (specifying the type of ownership) by such Noticing Party or any Stockholder Associated Person (including any right to acquire beneficial ownership at any time in the future, whether such right is exercisable immediately or only after the passage of time or the fulfillment of a condition) and the date or dates on which such shares were acquired; </w:t>
      </w:r>
    </w:p>
    <w:p>
      <w:pPr>
        <w:pStyle w:val="TextBody"/>
        <w:bidi w:val="0"/>
        <w:spacing w:before="120" w:after="0"/>
        <w:jc w:val="left"/>
        <w:rPr>
          <w:rFonts w:ascii="Times New Roman" w:hAnsi="Times New Roman"/>
          <w:sz w:val="20"/>
        </w:rPr>
      </w:pPr>
      <w:r>
        <w:rPr>
          <w:rFonts w:ascii="Times New Roman" w:hAnsi="Times New Roman"/>
          <w:sz w:val="20"/>
        </w:rPr>
        <w:t xml:space="preserve">(C) the name of each nominee holder for, and number of, any securities of the Corporation owned beneficially but not of record by such Noticing Party or any Stockholder Associated Person and any pledge by such Noticing Party or any Stockholder Associated Person with respect to any of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(D) a description of all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behalf of, such Noticing Party or any Stockholder Associated Person, the effect or intent of which is to mitigate loss, manage risk or benefit from changes in the price of any securities of the Corporation, or maintain, increase or decrease the voting power of such Noticing Party or any Stockholder Associated Person with respect to securities of the Corporation, whether or not such instrument or right shall be subject to settlement in underlying shares of capital stock of the Corporation (any of the foregoing, a “</w:t>
      </w:r>
      <w:r>
        <w:rPr>
          <w:rFonts w:ascii="Times New Roman" w:hAnsi="Times New Roman"/>
          <w:b/>
          <w:sz w:val="20"/>
        </w:rPr>
        <w:t>Derivative Instrument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substantial interest, direct or indirect (including any existing or prospective commercial, business or contractual relationship with the Corporation), of such Noticing Party or, to the knowledge of such Noticing Party (or the beneficial owner(s) on whose behalf such Noticing Party is submitting a notice to the Corporation), any Stockholder Associated Person in the Corporation or any affiliate (as defined below) thereof or in the proposed business or nomination(s) to be brought before the meeting by such Noticing Party, other than an interest arising from the ownership of Corporation securities where such Noticing Party or such Stockholder Associated Person receives no extra or special benefit not shared on a </w:t>
      </w:r>
      <w:r>
        <w:rPr>
          <w:rFonts w:ascii="Times New Roman" w:hAnsi="Times New Roman"/>
          <w:i/>
          <w:sz w:val="20"/>
        </w:rPr>
        <w:t>pro rata</w:t>
      </w:r>
      <w:r>
        <w:rPr>
          <w:rFonts w:ascii="Times New Roman" w:hAnsi="Times New Roman"/>
          <w:sz w:val="20"/>
        </w:rPr>
        <w:t xml:space="preserve"> basis by all other holders of the same class or series; </w:t>
      </w:r>
    </w:p>
    <w:p>
      <w:pPr>
        <w:pStyle w:val="TextBody"/>
        <w:bidi w:val="0"/>
        <w:spacing w:before="120" w:after="0"/>
        <w:jc w:val="left"/>
        <w:rPr>
          <w:rFonts w:ascii="Times New Roman" w:hAnsi="Times New Roman"/>
          <w:sz w:val="20"/>
        </w:rPr>
      </w:pPr>
      <w:r>
        <w:rPr>
          <w:rFonts w:ascii="Times New Roman" w:hAnsi="Times New Roman"/>
          <w:sz w:val="20"/>
        </w:rPr>
        <w:t xml:space="preserve">(F) a description of all agreements, arrangements or understandings, written or oral, (I) between or among such Noticing Party and any Stockholder Associated Person or (II) between or among such Noticing Party or, to the knowledge of such Noticing Party (or the beneficial owner(s) on whose behalf such Noticing Party is submitting a notice to the Corporation), any Stockholder Associated Person and any other person or entity (naming each such person or entity), in each case, relating to acquiring, holding, voting or disposing of any securities of the Corporation, including any proxy (other than any revocable proxy given in response to a solicitation made pursuant to, and in accordance with, the Proxy Rules by way of a solicitation statement filed on Schedule 14A); </w:t>
      </w:r>
    </w:p>
    <w:p>
      <w:pPr>
        <w:pStyle w:val="TextBody"/>
        <w:bidi w:val="0"/>
        <w:spacing w:before="120" w:after="0"/>
        <w:jc w:val="left"/>
        <w:rPr>
          <w:rFonts w:ascii="Times New Roman" w:hAnsi="Times New Roman"/>
          <w:sz w:val="20"/>
        </w:rPr>
      </w:pPr>
      <w:r>
        <w:rPr>
          <w:rFonts w:ascii="Times New Roman" w:hAnsi="Times New Roman"/>
          <w:sz w:val="20"/>
        </w:rPr>
        <w:t xml:space="preserve">(G) any proportionate interest in shares of the Corporation or Derivative Instruments held, directly or indirectly, by a general or limited partnership, limited liability company or similar entity in which such Noticing Party or any Stockholder Associated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 </w:t>
      </w:r>
    </w:p>
    <w:p>
      <w:pPr>
        <w:pStyle w:val="TextBody"/>
        <w:bidi w:val="0"/>
        <w:spacing w:before="120" w:after="0"/>
        <w:jc w:val="left"/>
        <w:rPr>
          <w:rFonts w:ascii="Times New Roman" w:hAnsi="Times New Roman"/>
          <w:sz w:val="20"/>
        </w:rPr>
      </w:pPr>
      <w:r>
        <w:rPr>
          <w:rFonts w:ascii="Times New Roman" w:hAnsi="Times New Roman"/>
          <w:sz w:val="20"/>
        </w:rPr>
        <w:t xml:space="preserve">(H) any direct or indirect interest (other than solely as a result of security ownership) of such Noticing Party or, to the knowledge of such Noticing Party (or the beneficial owner(s) on whose behalf such Noticing Party is submitting a notice to the Corporation), any Stockholder Associated Person in any agreement with the Corporation, any affiliate of the Corporation (including any employment agreement, collective bargaining agreement or 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(I) a representation that (I) neither such Noticing Party nor any Stockholder Associated Person has breached any agreement, arrangement or understanding with the Corporation except as disclosed to the Corporation pursuant hereto and (II) such Noticing Party and each Stockholder Associated Person has complied, and will comply, with all applicable requirements of state law and the Exchange Act with respect to the matters set forth in this </w:t>
      </w:r>
      <w:r>
        <w:rPr>
          <w:rFonts w:ascii="Times New Roman" w:hAnsi="Times New Roman"/>
          <w:sz w:val="20"/>
          <w:u w:val="single"/>
        </w:rPr>
        <w:t>Section 1.16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all information that would be required to be set forth in a Schedule 13D filed pursuant to Rule 13d-1(a) under the Exchange Act or an amendment pursuant to Rule 13d-2(a) under the Exchange Act if such a statement were required to be filed under the Exchange Act by such Noticing Party or any Stockholder Associated Person, with respect to the Corporation (regardless of whether such person or entity is actually required to file a Schedule 13D), including a description of any agreement, arrangement or understanding that would be required to be disclosed by such Noticing Party or any Stockholder Associated Person pursuant to Item 5 or Item 6 of Schedule 13D;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all other information relating to such Noticing Party or any Stockholder Associated Person that would be required to be disclosed in a proxy statement in connection with the solicitation of proxies by such Noticing Party or any Stockholder Associated Person in support of the business proposed by such Noticing Party, if any, or for the election of any Proposed Nominee in a contested election or otherwise pursuant to the Proxy Rules;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disclosures described in the foregoing subclauses (A) through (K) shall not include any such disclosures with respect to the ordinary course business activities of any depositary or any broker, dealer, commercial bank, trust company or other nominee who is a Noticing Party solely as a result of being the stockholder directed to prepare and submit the notice required by these Bylaws on behalf of a beneficial owner (any such entity, an “</w:t>
      </w:r>
      <w:r>
        <w:rPr>
          <w:rFonts w:ascii="Times New Roman" w:hAnsi="Times New Roman"/>
          <w:b/>
          <w:sz w:val="20"/>
        </w:rPr>
        <w:t>Exempt Party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 representation that such Noticing Party intends to appear or cause a Qualified Representative (as defined below) of such Noticing Party to appear at the meeting to bring such business before the meeting or nominate any Proposed Nominees, as applicable, and an acknowledgment that, if such Noticing Party (or a Qualified Representative of such Noticing Party)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(v) a description of any pending or, to the knowledge of such Noticing Party (or the beneficial owner(s) on whose behalf such Noticing Party is submitting a notice to the Corporation), threatened legal proceeding or investigation in which such Noticing Party or any Stockholder Associated Person is a party or participant directly involving or directly relating to the Corporation or, to the knowledge of such Noticing Party (or the beneficial owner(s) on whose behalf such Noticing Party is submitting a notice to the Corporation), any current or former officer, director or affiliate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(vi) identification of the names and addresses of other stockholders (including beneficial owners) known by such Noticing Party (or the beneficial owner(s) on whose behalf such Noticing Party is submitting a notice to the Corporation) to provide financial support of the nomination(s) or other business proposal(s) submitted by such Noticing Party and, to the extent known, the class and number of shares of the Corporation’s capital stock owned beneficially or of record by such other stockholder(s) or other beneficial owner(s); and </w:t>
      </w:r>
    </w:p>
    <w:p>
      <w:pPr>
        <w:pStyle w:val="TextBody"/>
        <w:bidi w:val="0"/>
        <w:spacing w:before="120" w:after="0"/>
        <w:jc w:val="left"/>
        <w:rPr>
          <w:rFonts w:ascii="Times New Roman" w:hAnsi="Times New Roman"/>
          <w:sz w:val="20"/>
        </w:rPr>
      </w:pPr>
      <w:r>
        <w:rPr>
          <w:rFonts w:ascii="Times New Roman" w:hAnsi="Times New Roman"/>
          <w:sz w:val="20"/>
        </w:rPr>
        <w:t xml:space="preserve">(vii) a representation from such Noticing Party as to whether such Noticing Party or any Stockholder Associated Person intends or is part of a group (as such term is used in Rule 13d-5 under the Exchange Act) that intends to (A) solicit proxies in support of the election of any Proposed Nominee in accordance with Rule 14a-19 under the Exchange Act or (B) engage in a solicitation (within the meaning of Exchange Act Rule 14a-1(l)) with respect to the nomination of any Proposed Nominee or proposed business to be considered at the meeting, as applicable, and if so, the name of each participant (as defined in Instruction 3 to Item 4 of Schedule 14A under the Exchange Act) in such solicitation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Information</w:t>
      </w:r>
      <w:r>
        <w:rPr>
          <w:rFonts w:ascii="Times New Roman" w:hAnsi="Times New Roman"/>
          <w:sz w:val="20"/>
        </w:rPr>
        <w:t xml:space="preserve">. In addition to the information required pursuant to the foregoing provisions of this </w:t>
      </w:r>
      <w:r>
        <w:rPr>
          <w:rFonts w:ascii="Times New Roman" w:hAnsi="Times New Roman"/>
          <w:sz w:val="20"/>
          <w:u w:val="single"/>
        </w:rPr>
        <w:t>Section 1.16</w:t>
      </w:r>
      <w:r>
        <w:rPr>
          <w:rFonts w:ascii="Times New Roman" w:hAnsi="Times New Roman"/>
          <w:sz w:val="20"/>
        </w:rPr>
        <w:t xml:space="preserve">, the Corporation may require any Noticing Party to furnish such other information that would reasonably be expected to be material to a reasonable stockholder’s understanding of (i) any item of business proposed by such Noticing Party under this Section 1.16, (ii) the solicitation of proxies from the Corporation’s stockholders by the Noticing Party (or any Stockholder Associated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(iii) the eligibility, suitability or qualifications of a Proposed Nominee to serve as a director of the Corporation or the independence, or lack thereof, of such Proposed Nominee, under the listing standards of each securities exchange upon which the Corporation’s securities are listed, any applicable rules of the Securities and Exchange Commission, any publicly disclosed standards used by the Board in selecting nominees for election as a director and for determining and disclosing the independence of the Corporation’s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by a Noticing Party within 10 days after it has been requested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meeting (or any supplement thereto). Nominations of persons for election to the Board may be made at a special meeting of stockholders at which directors are to be elected pursuant to the Corporation’s notice of meeting (or any supplement thereto) (i) by or at the direction of the Board (or any duly authorized committee thereof) or (ii) provided that one or more directors are to be elected at such meeting pursuant to the Corporation’s notice of meeting, by any stockholder of the Corporation who (A) is a stockholder of record on the date of the giving of the notice provided for in this </w:t>
      </w:r>
      <w:r>
        <w:rPr>
          <w:rFonts w:ascii="Times New Roman" w:hAnsi="Times New Roman"/>
          <w:sz w:val="20"/>
          <w:u w:val="single"/>
        </w:rPr>
        <w:t>Section 1.16(e)</w:t>
      </w:r>
      <w:r>
        <w:rPr>
          <w:rFonts w:ascii="Times New Roman" w:hAnsi="Times New Roman"/>
          <w:sz w:val="20"/>
        </w:rPr>
        <w:t xml:space="preserve"> through the date of such special meeting, (B) is entitled to vote at such special meeting and upon such election and (C) complies with the notice procedures set forth in this </w:t>
      </w:r>
      <w:r>
        <w:rPr>
          <w:rFonts w:ascii="Times New Roman" w:hAnsi="Times New Roman"/>
          <w:sz w:val="20"/>
          <w:u w:val="single"/>
        </w:rPr>
        <w:t>Section 1.16(e)</w:t>
      </w:r>
      <w:r>
        <w:rPr>
          <w:rFonts w:ascii="Times New Roman" w:hAnsi="Times New Roman"/>
          <w:sz w:val="20"/>
        </w:rPr>
        <w:t xml:space="preserve">. In addition to any other applicable requirements, for director nominations to be properly brought before a special meeting by a stockholder pursuant to the foregoing clause (ii), such stockholder must have given timely notice thereof in proper written form to the Secretary. To be timely, such notice must be received by the Secretary at the principal executive offices of the Corporation not earlier than the Close of Business on the 120th day prior to such special meeting and not later than the Close of Business on the later of (x) the 90th day prior to such special meeting and (y) the 10th day following the day on which public disclosure of the date of the meeting is first made by the Corporation. In no event shall an adjournment, recess, postponement, judicial stay or rescheduling of a special meeting (or the public disclosure thereof) commence a new time period (or extend any time period) for the giving of a stockholder’s notice as described above. To be in proper written form, such notice shall include all information required pursuant to </w:t>
      </w:r>
      <w:r>
        <w:rPr>
          <w:rFonts w:ascii="Times New Roman" w:hAnsi="Times New Roman"/>
          <w:sz w:val="20"/>
          <w:u w:val="single"/>
        </w:rPr>
        <w:t>Section 1.16(c)</w:t>
      </w:r>
      <w:r>
        <w:rPr>
          <w:rFonts w:ascii="Times New Roman" w:hAnsi="Times New Roman"/>
          <w:sz w:val="20"/>
        </w:rPr>
        <w:t xml:space="preserve"> above, and such stockholder and any Proposed Nominee shall comply with </w:t>
      </w:r>
      <w:r>
        <w:rPr>
          <w:rFonts w:ascii="Times New Roman" w:hAnsi="Times New Roman"/>
          <w:sz w:val="20"/>
          <w:u w:val="single"/>
        </w:rPr>
        <w:t>Section 1.16(d)</w:t>
      </w:r>
      <w:r>
        <w:rPr>
          <w:rFonts w:ascii="Times New Roman" w:hAnsi="Times New Roman"/>
          <w:sz w:val="20"/>
        </w:rPr>
        <w:t xml:space="preserve"> above, as if such notice were being submitted in connection with an annual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(f) General. </w:t>
      </w:r>
    </w:p>
    <w:p>
      <w:pPr>
        <w:pStyle w:val="TextBody"/>
        <w:bidi w:val="0"/>
        <w:spacing w:before="120" w:after="0"/>
        <w:jc w:val="left"/>
        <w:rPr>
          <w:rFonts w:ascii="Times New Roman" w:hAnsi="Times New Roman"/>
          <w:sz w:val="20"/>
        </w:rPr>
      </w:pPr>
      <w:r>
        <w:rPr>
          <w:rFonts w:ascii="Times New Roman" w:hAnsi="Times New Roman"/>
          <w:sz w:val="20"/>
        </w:rPr>
        <w:t xml:space="preserve">(i) No person shall be eligible for election as a director of the Corporation unless the person is nominated by a stockholder in accordance with the procedures set forth in this </w:t>
      </w:r>
      <w:r>
        <w:rPr>
          <w:rFonts w:ascii="Times New Roman" w:hAnsi="Times New Roman"/>
          <w:sz w:val="20"/>
          <w:u w:val="single"/>
        </w:rPr>
        <w:t>Section 1.16</w:t>
      </w:r>
      <w:r>
        <w:rPr>
          <w:rFonts w:ascii="Times New Roman" w:hAnsi="Times New Roman"/>
          <w:sz w:val="20"/>
        </w:rPr>
        <w:t xml:space="preserve"> or the person is nominated by the Board, and no business shall be conducted at a meeting of stockholders of the Corporation except pursuant to Rule 14a-8 of the Exchange Act and business brought by a stockholder in accordance with the procedures set forth in this </w:t>
      </w:r>
      <w:r>
        <w:rPr>
          <w:rFonts w:ascii="Times New Roman" w:hAnsi="Times New Roman"/>
          <w:sz w:val="20"/>
          <w:u w:val="single"/>
        </w:rPr>
        <w:t>Section 1.16</w:t>
      </w:r>
      <w:r>
        <w:rPr>
          <w:rFonts w:ascii="Times New Roman" w:hAnsi="Times New Roman"/>
          <w:sz w:val="20"/>
        </w:rPr>
        <w:t xml:space="preserve"> or by the Board. The number of Proposed Nominees a stockholder may include in a notice under this </w:t>
      </w:r>
      <w:r>
        <w:rPr>
          <w:rFonts w:ascii="Times New Roman" w:hAnsi="Times New Roman"/>
          <w:sz w:val="20"/>
          <w:u w:val="single"/>
        </w:rPr>
        <w:t>Section 1.16</w:t>
      </w:r>
      <w:r>
        <w:rPr>
          <w:rFonts w:ascii="Times New Roman" w:hAnsi="Times New Roman"/>
          <w:sz w:val="20"/>
        </w:rPr>
        <w:t xml:space="preserve"> may not exceed the number of directors to be elected at such meeting, and for the avoidance of doubt, no stockholder shall be entitled to identify any additional or substitute persons as Proposed Nominees following the expiration of the time periods set forth in </w:t>
      </w:r>
      <w:r>
        <w:rPr>
          <w:rFonts w:ascii="Times New Roman" w:hAnsi="Times New Roman"/>
          <w:sz w:val="20"/>
          <w:u w:val="single"/>
        </w:rPr>
        <w:t>Section 1.16(b)</w:t>
      </w:r>
      <w:r>
        <w:rPr>
          <w:rFonts w:ascii="Times New Roman" w:hAnsi="Times New Roman"/>
          <w:sz w:val="20"/>
        </w:rPr>
        <w:t xml:space="preserve"> or </w:t>
      </w:r>
      <w:r>
        <w:rPr>
          <w:rFonts w:ascii="Times New Roman" w:hAnsi="Times New Roman"/>
          <w:sz w:val="20"/>
          <w:u w:val="single"/>
        </w:rPr>
        <w:t>Section 1.16(e)</w:t>
      </w:r>
      <w:r>
        <w:rPr>
          <w:rFonts w:ascii="Times New Roman" w:hAnsi="Times New Roman"/>
          <w:sz w:val="20"/>
        </w:rPr>
        <w:t xml:space="preserve">, as applicable. Except as otherwise provided by law, the Board or the chairperson of a meeting shall have the power and the duty to determine whether a nomination or any business proposed to be brought before the meeting has been made or proposed in accordance with the procedures set forth in these Bylaws, and, if the Board or the chairperson of the meeting determines that any proposed nomination or business was not properly brought before the meeting, the chairperson shall declare to the meeting that such nomination shall be disregarded or such business shall not be transacted, and no vote shall be taken with respect to such nomination or proposed business, in each case, notwithstanding that proxies with respect to such vote may have been received by the Corporation. Notwithstanding the foregoing provisions of this </w:t>
      </w:r>
      <w:r>
        <w:rPr>
          <w:rFonts w:ascii="Times New Roman" w:hAnsi="Times New Roman"/>
          <w:sz w:val="20"/>
          <w:u w:val="single"/>
        </w:rPr>
        <w:t>Section 1.16</w:t>
      </w:r>
      <w:r>
        <w:rPr>
          <w:rFonts w:ascii="Times New Roman" w:hAnsi="Times New Roman"/>
          <w:sz w:val="20"/>
        </w:rPr>
        <w:t xml:space="preserve">, unless otherwise required by law, if the Noticing Party (or a Qualified Representative of the Noticing Party) proposing a nominee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 or business to be conducted at a meeting does not appear at the meeting of stockholders of the Corporation to present such nomination or propose such business, such proposed nomination shall be disregarded or such proposed business shall not be transacted, as applicable, and no vote shall be taken with respect to such nomination or proposed business, notwithstanding that proxies with respect to such vote may have been received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A Noticing Party shall update such Noticing Party’s notice provided under the foregoing provisions of this </w:t>
      </w:r>
      <w:r>
        <w:rPr>
          <w:rFonts w:ascii="Times New Roman" w:hAnsi="Times New Roman"/>
          <w:sz w:val="20"/>
          <w:u w:val="single"/>
        </w:rPr>
        <w:t>Section 1.16</w:t>
      </w:r>
      <w:r>
        <w:rPr>
          <w:rFonts w:ascii="Times New Roman" w:hAnsi="Times New Roman"/>
          <w:sz w:val="20"/>
        </w:rPr>
        <w:t xml:space="preserve">, if necessary, such that the information provided or required to be provided in such notice shall be true and correct in all material respects as of (A) the record date for determining the stockholders entitled to receive notice of the meeting and (B) the date that is 10 business days prior to the meeting (or any postponement, rescheduling or adjournment thereof), and such update shall (I) be received by the Secretary at the principal executive offices of the Corporation (x) not later than the Close of Business five business days after the record date for determining the stockholders entitled to receive notice of such meeting (in the case of an update required to be made under clause (A)) and (y) not later than the Close of Business seven business days prior to the date of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(II) be made only to the extent that information has changed since such Noticing Party’s prior submission and (III) clearly identify the information that has changed in any material respect since such Noticing Party’s prior submission. For the avoidance of doubt, any information provided pursuant to this </w:t>
      </w:r>
      <w:r>
        <w:rPr>
          <w:rFonts w:ascii="Times New Roman" w:hAnsi="Times New Roman"/>
          <w:sz w:val="20"/>
          <w:u w:val="single"/>
        </w:rPr>
        <w:t>Section 1.16(f)(ii)</w:t>
      </w:r>
      <w:r>
        <w:rPr>
          <w:rFonts w:ascii="Times New Roman" w:hAnsi="Times New Roman"/>
          <w:sz w:val="20"/>
        </w:rPr>
        <w:t xml:space="preserve"> shall not be deemed to cure any deficiencies or inaccuracies in a notice previously delivered pursuant to this </w:t>
      </w:r>
      <w:r>
        <w:rPr>
          <w:rFonts w:ascii="Times New Roman" w:hAnsi="Times New Roman"/>
          <w:sz w:val="20"/>
          <w:u w:val="single"/>
        </w:rPr>
        <w:t>Section 1.16</w:t>
      </w:r>
      <w:r>
        <w:rPr>
          <w:rFonts w:ascii="Times New Roman" w:hAnsi="Times New Roman"/>
          <w:sz w:val="20"/>
        </w:rPr>
        <w:t xml:space="preserve"> and shall not extend the time period for the delivery of notice pursuant to this </w:t>
      </w:r>
      <w:r>
        <w:rPr>
          <w:rFonts w:ascii="Times New Roman" w:hAnsi="Times New Roman"/>
          <w:sz w:val="20"/>
          <w:u w:val="single"/>
        </w:rPr>
        <w:t>Section 1.16</w:t>
      </w:r>
      <w:r>
        <w:rPr>
          <w:rFonts w:ascii="Times New Roman" w:hAnsi="Times New Roman"/>
          <w:sz w:val="20"/>
        </w:rPr>
        <w:t xml:space="preserve">. If a Noticing Party fails to provide any update in accordance with the foregoing provisions of this </w:t>
      </w:r>
      <w:r>
        <w:rPr>
          <w:rFonts w:ascii="Times New Roman" w:hAnsi="Times New Roman"/>
          <w:sz w:val="20"/>
          <w:u w:val="single"/>
        </w:rPr>
        <w:t>Section 1.16(f)(ii)</w:t>
      </w:r>
      <w:r>
        <w:rPr>
          <w:rFonts w:ascii="Times New Roman" w:hAnsi="Times New Roman"/>
          <w:sz w:val="20"/>
        </w:rPr>
        <w:t xml:space="preserve">, the information as to which such written update relates may be deemed not to have been provided in accordance with this </w:t>
      </w:r>
      <w:r>
        <w:rPr>
          <w:rFonts w:ascii="Times New Roman" w:hAnsi="Times New Roman"/>
          <w:sz w:val="20"/>
          <w:u w:val="single"/>
        </w:rPr>
        <w:t>Section 1.16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If any information submitted pursuant to this </w:t>
      </w:r>
      <w:r>
        <w:rPr>
          <w:rFonts w:ascii="Times New Roman" w:hAnsi="Times New Roman"/>
          <w:sz w:val="20"/>
          <w:u w:val="single"/>
        </w:rPr>
        <w:t>Section 1.16</w:t>
      </w:r>
      <w:r>
        <w:rPr>
          <w:rFonts w:ascii="Times New Roman" w:hAnsi="Times New Roman"/>
          <w:sz w:val="20"/>
        </w:rPr>
        <w:t xml:space="preserve"> by any Noticing Party nominating individuals for election or reelection as a director or proposing business for consideration at a stockholder meeting shall be inaccurate in any material respect (as determined by the Board or a committee thereof), such information may be deemed not to have been provided in accordance with this </w:t>
      </w:r>
      <w:r>
        <w:rPr>
          <w:rFonts w:ascii="Times New Roman" w:hAnsi="Times New Roman"/>
          <w:sz w:val="20"/>
          <w:u w:val="single"/>
        </w:rPr>
        <w:t>Section 1.16</w:t>
      </w:r>
      <w:r>
        <w:rPr>
          <w:rFonts w:ascii="Times New Roman" w:hAnsi="Times New Roman"/>
          <w:sz w:val="20"/>
        </w:rPr>
        <w:t xml:space="preserve">. Any such Noticing Party shall notify the Secretary in writing at the principal executive offices of the Corporation of any material inaccuracy or change in any information submitted pursuant to this </w:t>
      </w:r>
      <w:r>
        <w:rPr>
          <w:rFonts w:ascii="Times New Roman" w:hAnsi="Times New Roman"/>
          <w:sz w:val="20"/>
          <w:u w:val="single"/>
        </w:rPr>
        <w:t>Section 1.16</w:t>
      </w:r>
      <w:r>
        <w:rPr>
          <w:rFonts w:ascii="Times New Roman" w:hAnsi="Times New Roman"/>
          <w:sz w:val="20"/>
        </w:rPr>
        <w:t xml:space="preserve"> (including if any Noticing Party or any Stockholder Associated Person no longer intends to solicit proxies in accordance with the representation made pursuant to </w:t>
      </w:r>
      <w:r>
        <w:rPr>
          <w:rFonts w:ascii="Times New Roman" w:hAnsi="Times New Roman"/>
          <w:sz w:val="20"/>
          <w:u w:val="single"/>
        </w:rPr>
        <w:t>Section 1.16(c)(vii)(A)</w:t>
      </w:r>
      <w:r>
        <w:rPr>
          <w:rFonts w:ascii="Times New Roman" w:hAnsi="Times New Roman"/>
          <w:sz w:val="20"/>
        </w:rPr>
        <w:t xml:space="preserve">) within two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Noticing Party. Upon written request of the Secretary on behalf of the Board (or a duly authorized committee thereof), any such Noticing Party shall provide, within seven business days after delivery of such request (or such other period as may reasonably be specified in such request), (A) written verification, reasonably satisfactory to the Board, any committee thereof or any authorized officer of the Corporation, to demonstrate the accuracy of any information submitted by such Noticing Party pursuant to this </w:t>
      </w:r>
      <w:r>
        <w:rPr>
          <w:rFonts w:ascii="Times New Roman" w:hAnsi="Times New Roman"/>
          <w:sz w:val="20"/>
          <w:u w:val="single"/>
        </w:rPr>
        <w:t>Section 1.16</w:t>
      </w:r>
      <w:r>
        <w:rPr>
          <w:rFonts w:ascii="Times New Roman" w:hAnsi="Times New Roman"/>
          <w:sz w:val="20"/>
        </w:rPr>
        <w:t xml:space="preserve"> and (B) a written affirmation of any information submitted by such Noticing Party pursuant to this </w:t>
      </w:r>
      <w:r>
        <w:rPr>
          <w:rFonts w:ascii="Times New Roman" w:hAnsi="Times New Roman"/>
          <w:sz w:val="20"/>
          <w:u w:val="single"/>
        </w:rPr>
        <w:t>Section 1.16</w:t>
      </w:r>
      <w:r>
        <w:rPr>
          <w:rFonts w:ascii="Times New Roman" w:hAnsi="Times New Roman"/>
          <w:sz w:val="20"/>
        </w:rPr>
        <w:t xml:space="preserve"> as of an earlier date. If a Noticing Party fails to provide such written verification or affirmation within such period, the information as to which written verification or affirmation was requested may be deemed not to have been provided in accordance with this </w:t>
      </w:r>
      <w:r>
        <w:rPr>
          <w:rFonts w:ascii="Times New Roman" w:hAnsi="Times New Roman"/>
          <w:sz w:val="20"/>
          <w:u w:val="single"/>
        </w:rPr>
        <w:t>Section 1.16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herein to the contrary, if (A) any Noticing Party or any Stockholder Associated Person provides notice pursuant to Rule 14a-19(b) under the Exchange Act with respect to any Proposed Nominee and (B) (1) such Noticing Party or Stockholder Associated Person subsequently either (x) notifies the Corporation that such Noticing Party or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Associated Person no longer intends to solicit proxies in support of the election or reelection of such Proposed Nominee in accordance with Rule 14a-19(b) under the Exchange Act or (y) fails to comply with the requirements of Rule 14a-19(a)(2) or Rule 14a-19(a)(3) under the Exchange Act (or fails to timely provide reasonable evidence sufficient to satisfy the Corporation that such Noticing Party or Stockholder Associated Person has met the requirements of Rule 14a-19(a)(3) under the Exchange Act in accordance with the following sentence) and (2) no other Noticing Party or Stockholder Associated Person that has provided notice pursuant to Rule 14a-19(b) under the Exchange Act with respect to such Proposed Nominee (x) to the Corporation’s knowledge based on information provided pursuant to Rule 14a-19 under the Exchange Act or these Bylaws, still intends to solicit proxies in support of the election or reelection of such Proposed Nominee in accordance with Rule 14a-19(b) under the Exchange Act and (y) has complied with the requirements of Rule 14a-19(a)(2) and Rule 14a-19(a)(3) under the Exchange Act and the requirements set forth in the following sentence, then the nomination of such Proposed Nominee shall be disregarded, no vote on the election of such Proposed Nominee shall occur, and the Corporation shall disregard any proxies or votes solicited for such Proposed Nominee regardless of the person or entity who solicited such proxies (notwithstanding that proxies in respect of such vote may have been received by the Corporation). Upon request by the Corporation, if any Noticing Party or any Stockholder Associated Person provides notice pursuant to Rule 14a-19(b) under the Exchange Act, such Noticing Party shall deliver to the Secretary, no later than five business days prior to the applicable meeting date, reasonable evidence that the requirements of Rule 14a-19(a)(3) under the Exchange Act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(v) In addition to complying with the foregoing provisions of this </w:t>
      </w:r>
      <w:r>
        <w:rPr>
          <w:rFonts w:ascii="Times New Roman" w:hAnsi="Times New Roman"/>
          <w:sz w:val="20"/>
          <w:u w:val="single"/>
        </w:rPr>
        <w:t>Section 1.16</w:t>
      </w:r>
      <w:r>
        <w:rPr>
          <w:rFonts w:ascii="Times New Roman" w:hAnsi="Times New Roman"/>
          <w:sz w:val="20"/>
        </w:rPr>
        <w:t xml:space="preserve">, a stockholder shall also comply with all applicable requirements of state law and the Exchange Act with respect to the matters set forth in this </w:t>
      </w:r>
      <w:r>
        <w:rPr>
          <w:rFonts w:ascii="Times New Roman" w:hAnsi="Times New Roman"/>
          <w:sz w:val="20"/>
          <w:u w:val="single"/>
        </w:rPr>
        <w:t>Section 1.16</w:t>
      </w:r>
      <w:r>
        <w:rPr>
          <w:rFonts w:ascii="Times New Roman" w:hAnsi="Times New Roman"/>
          <w:sz w:val="20"/>
        </w:rPr>
        <w:t xml:space="preserve">. Nothing in this </w:t>
      </w:r>
      <w:r>
        <w:rPr>
          <w:rFonts w:ascii="Times New Roman" w:hAnsi="Times New Roman"/>
          <w:sz w:val="20"/>
          <w:u w:val="single"/>
        </w:rPr>
        <w:t>Section 1.16</w:t>
      </w:r>
      <w:r>
        <w:rPr>
          <w:rFonts w:ascii="Times New Roman" w:hAnsi="Times New Roman"/>
          <w:sz w:val="20"/>
        </w:rPr>
        <w:t xml:space="preserve"> shall be deemed to affect any rights of (A) stockholders to request inclusion of proposals in the Corporation’s proxy statement pursuant to Rule 14a-8 under the Exchange Act, (B) stockholders to request inclusion of nominees in the Corporation’s proxy statement pursuant to the Proxy Rules or (C) the holders of any series of preferred stock to elect directors pursuant to any applicable provisions of the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(vi) Any written notice, supplement, update or other information required to be delivered by a stockholder to the Corporation pursuant to this </w:t>
      </w:r>
      <w:r>
        <w:rPr>
          <w:rFonts w:ascii="Times New Roman" w:hAnsi="Times New Roman"/>
          <w:sz w:val="20"/>
          <w:u w:val="single"/>
        </w:rPr>
        <w:t>Section 1.16</w:t>
      </w:r>
      <w:r>
        <w:rPr>
          <w:rFonts w:ascii="Times New Roman" w:hAnsi="Times New Roman"/>
          <w:sz w:val="20"/>
        </w:rPr>
        <w:t xml:space="preserve"> must be given by personal delivery, by overnight courier or by registered or certified mail, postage prepaid, to the Secretary at the Corporation’s principal executive offices and shall be deemed not to have been delivered unless so given. </w:t>
      </w:r>
    </w:p>
    <w:p>
      <w:pPr>
        <w:pStyle w:val="TextBody"/>
        <w:bidi w:val="0"/>
        <w:spacing w:before="120" w:after="0"/>
        <w:jc w:val="left"/>
        <w:rPr>
          <w:rFonts w:ascii="Times New Roman" w:hAnsi="Times New Roman"/>
          <w:sz w:val="20"/>
        </w:rPr>
      </w:pPr>
      <w:r>
        <w:rPr>
          <w:rFonts w:ascii="Times New Roman" w:hAnsi="Times New Roman"/>
          <w:sz w:val="20"/>
        </w:rPr>
        <w:t>(vii) For purposes of these Bylaws, (A) “</w:t>
      </w:r>
      <w:r>
        <w:rPr>
          <w:rFonts w:ascii="Times New Roman" w:hAnsi="Times New Roman"/>
          <w:b/>
          <w:sz w:val="20"/>
        </w:rPr>
        <w:t>affiliate</w:t>
      </w:r>
      <w:r>
        <w:rPr>
          <w:rFonts w:ascii="Times New Roman" w:hAnsi="Times New Roman"/>
          <w:sz w:val="20"/>
        </w:rPr>
        <w:t>” and “</w:t>
      </w:r>
      <w:r>
        <w:rPr>
          <w:rFonts w:ascii="Times New Roman" w:hAnsi="Times New Roman"/>
          <w:b/>
          <w:sz w:val="20"/>
        </w:rPr>
        <w:t>associate</w:t>
      </w:r>
      <w:r>
        <w:rPr>
          <w:rFonts w:ascii="Times New Roman" w:hAnsi="Times New Roman"/>
          <w:sz w:val="20"/>
        </w:rPr>
        <w:t>” each shall have the respective meanings set forth in Rule 12b-2 under the Exchange Act; (B) “</w:t>
      </w:r>
      <w:r>
        <w:rPr>
          <w:rFonts w:ascii="Times New Roman" w:hAnsi="Times New Roman"/>
          <w:b/>
          <w:sz w:val="20"/>
        </w:rPr>
        <w:t>beneficial owner</w:t>
      </w:r>
      <w:r>
        <w:rPr>
          <w:rFonts w:ascii="Times New Roman" w:hAnsi="Times New Roman"/>
          <w:sz w:val="20"/>
        </w:rPr>
        <w:t>,” “</w:t>
      </w:r>
      <w:r>
        <w:rPr>
          <w:rFonts w:ascii="Times New Roman" w:hAnsi="Times New Roman"/>
          <w:b/>
          <w:sz w:val="20"/>
        </w:rPr>
        <w:t>beneficially owned</w:t>
      </w:r>
      <w:r>
        <w:rPr>
          <w:rFonts w:ascii="Times New Roman" w:hAnsi="Times New Roman"/>
          <w:sz w:val="20"/>
        </w:rPr>
        <w:t>” and “</w:t>
      </w:r>
      <w:r>
        <w:rPr>
          <w:rFonts w:ascii="Times New Roman" w:hAnsi="Times New Roman"/>
          <w:b/>
          <w:sz w:val="20"/>
        </w:rPr>
        <w:t>beneficially owns</w:t>
      </w:r>
      <w:r>
        <w:rPr>
          <w:rFonts w:ascii="Times New Roman" w:hAnsi="Times New Roman"/>
          <w:sz w:val="20"/>
        </w:rPr>
        <w:t>” shall have the meaning set forth for such terms in Section 13(d) of the Exchange Act and Rules 13d-3 and 13d-5 promulgated thereunder; (C) “</w:t>
      </w:r>
      <w:r>
        <w:rPr>
          <w:rFonts w:ascii="Times New Roman" w:hAnsi="Times New Roman"/>
          <w:b/>
          <w:sz w:val="20"/>
        </w:rPr>
        <w:t>Close of Business</w:t>
      </w:r>
      <w:r>
        <w:rPr>
          <w:rFonts w:ascii="Times New Roman" w:hAnsi="Times New Roman"/>
          <w:sz w:val="20"/>
        </w:rPr>
        <w:t>” shall mean 5:00 p.m. Eastern Time on any calendar day, whether or not the day is a business day; (D) “</w:t>
      </w:r>
      <w:r>
        <w:rPr>
          <w:rFonts w:ascii="Times New Roman" w:hAnsi="Times New Roman"/>
          <w:b/>
          <w:sz w:val="20"/>
        </w:rPr>
        <w:t>public disclosure</w:t>
      </w:r>
      <w:r>
        <w:rPr>
          <w:rFonts w:ascii="Times New Roman" w:hAnsi="Times New Roman"/>
          <w:sz w:val="20"/>
        </w:rPr>
        <w:t>” shall mean disclosure in a press release reported by a national news service or in a document publicly filed by the Corporation with the Securities and Exchange Commission pursuant to Section 13, 14 or 15(d) of the Exchange Act; (E) a “</w:t>
      </w:r>
      <w:r>
        <w:rPr>
          <w:rFonts w:ascii="Times New Roman" w:hAnsi="Times New Roman"/>
          <w:b/>
          <w:sz w:val="20"/>
        </w:rPr>
        <w:t>Qualified Representative</w:t>
      </w:r>
      <w:r>
        <w:rPr>
          <w:rFonts w:ascii="Times New Roman" w:hAnsi="Times New Roman"/>
          <w:sz w:val="20"/>
        </w:rPr>
        <w:t>” of a Noticing Party means (I) a duly authorized officer, manager or partner of such Noticing Party or (II) a person authorized by a writing executed by such Noticing Party (or a reliable reproduction or electronic transmission of the writing) delivered by such Noticing Party to the Corporation prior to the making of any nomination or proposal at a stockholder meeting stating that such person is authorized to act for such Noticing Party as proxy at the meeting of stockholders, which writing or electronic transmission, or a reliable reproduction of the writing or electronic transmission, must be produced at the meeting of stockholders; and (F) “</w:t>
      </w:r>
      <w:r>
        <w:rPr>
          <w:rFonts w:ascii="Times New Roman" w:hAnsi="Times New Roman"/>
          <w:b/>
          <w:sz w:val="20"/>
        </w:rPr>
        <w:t>Stockholder Associated Person</w:t>
      </w:r>
      <w:r>
        <w:rPr>
          <w:rFonts w:ascii="Times New Roman" w:hAnsi="Times New Roman"/>
          <w:sz w:val="20"/>
        </w:rPr>
        <w:t xml:space="preserve">” shall mean, with respect to a Noticing Party and if different from such Noticing Party, any beneficial owner of shares of stock of the Corporation on whose behalf such Noticing Party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notice of any nomination or other business proposed, (I) any person or entity who is a member of a group (as such term is used in Rule 13d-5 under the Exchange Act) with such Noticing Party or such beneficial owner(s) with respect to acquiring, holding, voting or disposing of any securities of the Corporation, (II) any affiliate or associate of such Noticing Party (other than any Noticing Party that is an Exempt Party) or such beneficial owner(s), (III) any participant (as defined in Instruction 3 to Item 4 of Schedule 14A) with such Noticing Party or such beneficial owner(s) with respect to any proposed business or nominations, as applicable, under these Bylaws, (IV) any beneficial owner of shares of stock of the Corporation owned of record by such Noticing Party (other than a Noticing Party that is an Exempt Party) and (V) any Proposed Nominee.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Number, Election and Qualification</w:t>
      </w:r>
      <w:r>
        <w:rPr>
          <w:rFonts w:ascii="Times New Roman" w:hAnsi="Times New Roman"/>
          <w:sz w:val="20"/>
        </w:rPr>
        <w:t xml:space="preserve">. Within the limits set forth in the Certificate of Incorporation, and subject to the rights of the holders of any series of preferred stock with respect to the election of directors, if any, the number of directors that shall constitute the entire Board shall be fixed, from time to time, exclusively by the Board. No reduction of the authorized number of directors shall have the effect of removing any director before that director’s term of office expires. To the extent set forth in the Certificate of Incorporation, the directors of the Corporation shall be divided into classes with terms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Duties and Powers</w:t>
      </w:r>
      <w:r>
        <w:rPr>
          <w:rFonts w:ascii="Times New Roman" w:hAnsi="Times New Roman"/>
          <w:sz w:val="20"/>
        </w:rPr>
        <w:t xml:space="preserve">. The business and affairs of the Corporation shall be managed by or under the direction of the Board, which may exercise all such powers of the Corporation and do all such lawful acts and things as are not by law, the Certificate of Incorporation or these Bylaws required to be exercised or done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Meetings</w:t>
      </w:r>
      <w:r>
        <w:rPr>
          <w:rFonts w:ascii="Times New Roman" w:hAnsi="Times New Roman"/>
          <w:sz w:val="20"/>
        </w:rPr>
        <w:t xml:space="preserve">. The Board may hold meetings, both regular and special, either within or without the State of Delaware. Regular meetings of the Board may be held at such time and at such place as may from time to time be determined by the Board. Special meetings of the Board may be called by the Chairperson of the Board (if there be one), the Chief Executive Officer or the Board and shall be held at such place, on such date and at such time as he, she or it shall specify.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Notice</w:t>
      </w:r>
      <w:r>
        <w:rPr>
          <w:rFonts w:ascii="Times New Roman" w:hAnsi="Times New Roman"/>
          <w:sz w:val="20"/>
        </w:rPr>
        <w:t xml:space="preserve">. Notice of any meeting of the Board stating the place, date and time of the meeting shall be given to each director by mail posted not less than five days before the date of the meeting, by nationally recognized overnight courier deposited not less than two days before the date of the meeting or by email or other means of electronic transmission delivered or sent not less than 24 hours before the date and time of the meeting, or on such shorter notice as the person or persons calling such meeting may deem necessary or appropriate under the circumstances. If mailed or sent by overnight courier, such notice shall be deemed to be given at the time when it is deposited in the United States mail with first class postage prepaid or deposited with the overnight courier. Notice by electronic transmission shall be deemed given when the notice is transmitted. Any director may waive notice of any meeting before or after the meeting. The attendance of a director at any meeting shall constitute a waiver of notice of such meeting, except where the director attends the meeting for the express purpose of objecting, and does so object, at the beginning of the meeting to the transaction of any business because the meeting is not lawfully called or convened. Neither the business to be transacted at, nor the purpose of, any regular or special meeting of the Board need be specified in any notice of such meeting unless so required by law. A meeting may be held at any time without notice if all of the directors are present or if those not present waive notice of the meeting in accordance with </w:t>
      </w:r>
      <w:r>
        <w:rPr>
          <w:rFonts w:ascii="Times New Roman" w:hAnsi="Times New Roman"/>
          <w:sz w:val="20"/>
          <w:u w:val="single"/>
        </w:rPr>
        <w:t>Section 5.6</w:t>
      </w:r>
      <w:r>
        <w:rPr>
          <w:rFonts w:ascii="Times New Roman" w:hAnsi="Times New Roman"/>
          <w:sz w:val="20"/>
        </w:rPr>
        <w:t xml:space="preserve">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Chairperson of the Board</w:t>
      </w:r>
      <w:r>
        <w:rPr>
          <w:rFonts w:ascii="Times New Roman" w:hAnsi="Times New Roman"/>
          <w:sz w:val="20"/>
        </w:rPr>
        <w:t xml:space="preserve">. The Chairperson of the Board shall be chosen from among the directors and may be the Chief Executive Officer. Except as otherwise provided by law, the Certificate of Incorporation or </w:t>
      </w:r>
      <w:r>
        <w:rPr>
          <w:rFonts w:ascii="Times New Roman" w:hAnsi="Times New Roman"/>
          <w:sz w:val="20"/>
          <w:u w:val="single"/>
        </w:rPr>
        <w:t>Section 2.6</w:t>
      </w:r>
      <w:r>
        <w:rPr>
          <w:rFonts w:ascii="Times New Roman" w:hAnsi="Times New Roman"/>
          <w:sz w:val="20"/>
        </w:rPr>
        <w:t xml:space="preserve"> of these Bylaws, the Chairperson of the Board shall preside at all meetings of stockholders and of the Board. The Chairperson of the Board shall have such other powers and duties as may from time to time be assigned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Organization</w:t>
      </w:r>
      <w:r>
        <w:rPr>
          <w:rFonts w:ascii="Times New Roman" w:hAnsi="Times New Roman"/>
          <w:sz w:val="20"/>
        </w:rPr>
        <w:t xml:space="preserve">. At each meeting of the Board, the Chairperson of the Board, or, in the Chairperson’s absence, a director chosen by at least a majority of the directors present, shall act as chairperson.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chairperson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Vacancies and Newly Created Directorships</w:t>
      </w:r>
      <w:r>
        <w:rPr>
          <w:rFonts w:ascii="Times New Roman" w:hAnsi="Times New Roman"/>
          <w:sz w:val="20"/>
        </w:rPr>
        <w:t xml:space="preserve">. Unless otherwise provided by law or the Certificate of Incorporation, and subject to the rights of holders of any series of preferred stock with respect to the election of directors, vacancies occurring on the Board for any reason and newly created directorships resulting from an increase in the number of directors may be filled only by vote of at least a majority of the remaining members of the Board, although less than a quorum, or by a sole remaining director, at any meeting of the Board and not by the stockholders.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Resignations and Removals of Directors</w:t>
      </w:r>
      <w:r>
        <w:rPr>
          <w:rFonts w:ascii="Times New Roman" w:hAnsi="Times New Roman"/>
          <w:sz w:val="20"/>
        </w:rPr>
        <w:t xml:space="preserve">. Any director of the Corporation may resign at any time, by giving notice in writing or by electronic transmission to the Chairperson of the Board, the Chief Executive Officer or the Secretary. Such resignation shall be effective upon receipt unless it is specified to be effective at some other time or upon the occurrence of some other event, and, unless otherwise specified in such notice, the acceptance of such resignation shall not be necessary to make it effective. Subject to the rights of holders of any series of preferred stock with respect to the election of directors, any director may be removed at any time by the affirmative vote of the holders of at least a majority of the combined voting power of all then-outstanding shares of capital stock of the Corporation entitled to vote generally in the election of directors, voting together as a single class, and only for cause, for so long as the Board is classified.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Quorum</w:t>
      </w:r>
      <w:r>
        <w:rPr>
          <w:rFonts w:ascii="Times New Roman" w:hAnsi="Times New Roman"/>
          <w:sz w:val="20"/>
        </w:rPr>
        <w:t xml:space="preserve">. At all meetings of the Board, at least a majority of directors constituting the Board shall constitute a quorum for the transaction of business, and the act of at least a majority of the directors present at any meeting at which a quorum is present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Actions of the Board by Written Consent</w:t>
      </w:r>
      <w:r>
        <w:rPr>
          <w:rFonts w:ascii="Times New Roman" w:hAnsi="Times New Roman"/>
          <w:sz w:val="20"/>
        </w:rPr>
        <w:t xml:space="preserve">. Any action required or permitted to be taken at any meeting of the Board or of any committee thereof may be taken without a meeting, if all the members of the Board or committee, as the case may be, consent thereto in writing or by electronic transmission, and the writing or electronic transmission is filed with the minutes of proceedings of the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Telephonic Meetings</w:t>
      </w:r>
      <w:r>
        <w:rPr>
          <w:rFonts w:ascii="Times New Roman" w:hAnsi="Times New Roman"/>
          <w:sz w:val="20"/>
        </w:rPr>
        <w:t xml:space="preserve">. Members of the Board, or any committee thereof, may participate in a meeting of the Board or such committee by means of a conference telephone or other communications equipment by means of which all persons participating in the meeting can hear and speak with each other, and participation in a meeting pursuant to this Section 2.11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Committees</w:t>
      </w:r>
      <w:r>
        <w:rPr>
          <w:rFonts w:ascii="Times New Roman" w:hAnsi="Times New Roman"/>
          <w:sz w:val="20"/>
        </w:rPr>
        <w:t xml:space="preserve">. The Board may designate one or more committees, each committee to consist of one or more of the directors of the Corporation and, to the extent permitted by law, to have and exercise such authority as may be provided for in the resolutions creating such committee, as such resolutions may be amended from time to time. The Board may designate one or more directors as alternate members of any committee, who may replace any absent or disqualified member at any meeting of any such committee.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member of the Board to act at the meeting in the place of any absent or disqualified member. Each committee shall keep regular minutes and report to the Board when required. At least a majority of the members of any committee present at any committee meeting at which there is a quorum present may determine such committee’s action and fix the time and place of its meetings, unless the Board shall otherwise provide. Except as may be provided in any resolutions establishing or designating a committee of the Board, the Board shall have the power at any time to fill vacancies in, to change the membership of or to dissolve any committee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Compensation</w:t>
      </w:r>
      <w:r>
        <w:rPr>
          <w:rFonts w:ascii="Times New Roman" w:hAnsi="Times New Roman"/>
          <w:sz w:val="20"/>
        </w:rPr>
        <w:t xml:space="preserve">. The Board shall have the authority to fix the compensation of directors. The directors shall be paid their reasonable expenses, if any, of attendance at each meeting of the Board or any committee thereof and may be paid a fixed sum for attendance at each such meeting and an annual retainer or salary for service as director or committee member, payable in cash or securities. No such payment shall preclude any director from serving the Corporation in any other capacity and receiving compensation therefor. Directors who are full-time employees of the Corporation shall not receive any compensation for their service as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Interested Directors</w:t>
      </w:r>
      <w:r>
        <w:rPr>
          <w:rFonts w:ascii="Times New Roman" w:hAnsi="Times New Roman"/>
          <w:sz w:val="20"/>
        </w:rPr>
        <w:t xml:space="preserve">.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or the committee and the Board or committee in good faith authorizes the contract or transaction by the affirmative vote of at least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Interested directors may be counted in determining the presence of a quorum at a meeting of the Board or of a committee that authorizes the contract or transaction.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General</w:t>
      </w:r>
      <w:r>
        <w:rPr>
          <w:rFonts w:ascii="Times New Roman" w:hAnsi="Times New Roman"/>
          <w:sz w:val="20"/>
        </w:rPr>
        <w:t xml:space="preserve">. The officers of the Corporation may be chosen by the Board and may be a Chief Executive Officer, a President, a Chief Financial Officer, a Secretary and a Treasurer. The Board, in its discretion, may also choose, or may delegate to the Chief Executive Officer the authority to appoint, one or more Executive Vice Presidents, Senior Vice Presidents, Vice Presidents, Assistant Secretaries, Assistant Treasurers and such other officers as the Board from time to time may deem appropriate. Any two or more offices may be held by the same person, but no officer may act in more than one capacity where action of two or more officers is required and no Vice President may at the same time hold the office of President. The officers of the Corporation need not be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Election; Term</w:t>
      </w:r>
      <w:r>
        <w:rPr>
          <w:rFonts w:ascii="Times New Roman" w:hAnsi="Times New Roman"/>
          <w:sz w:val="20"/>
        </w:rPr>
        <w:t xml:space="preserve">. The Board may elect the officers of the Corporation who shall hold their offices for such terms and shall exercise such powers and perform such duties as shall be determined from time to time by the Board, and each officer of the Corporation shall hold office until such officer’s successor is elected and qualified, or until such officer’s earlier death, resignation or removal. Any officer may be removed at any time by the Board, and any officer appointed by the Chief Executive Officer may be removed at any time by the Chief Executive Officer. Any officer may resign upon notice given in writing or electronic transmission to the Chief Executive Officer or the Secretary. Such resignation shall be effective upon receipt unless it is specified to be effective at some other time or upon the occurrence of some other event. Any vacancy occurring in any office of the Corporation shall be filled in the manner prescribed in this </w:t>
      </w:r>
      <w:r>
        <w:rPr>
          <w:rFonts w:ascii="Times New Roman" w:hAnsi="Times New Roman"/>
          <w:sz w:val="20"/>
          <w:u w:val="single"/>
        </w:rPr>
        <w:t>Article III</w:t>
      </w:r>
      <w:r>
        <w:rPr>
          <w:rFonts w:ascii="Times New Roman" w:hAnsi="Times New Roman"/>
          <w:sz w:val="20"/>
        </w:rPr>
        <w:t xml:space="preserve"> for the regular election to such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Voting Securities Owned by the Corporation</w:t>
      </w:r>
      <w:r>
        <w:rPr>
          <w:rFonts w:ascii="Times New Roman" w:hAnsi="Times New Roman"/>
          <w:sz w:val="20"/>
        </w:rPr>
        <w:t xml:space="preserve">. Powers of attorney, proxies, waivers of notice of meeting, consents and other instruments relating to securities owned by the Corporation may be executed in the name of and on behalf of the Corporation by the Chief Executive Officer, the Secretary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Chief Executive Officer</w:t>
      </w:r>
      <w:r>
        <w:rPr>
          <w:rFonts w:ascii="Times New Roman" w:hAnsi="Times New Roman"/>
          <w:sz w:val="20"/>
        </w:rPr>
        <w:t xml:space="preserve">. The Chief Executive Officer shall, subject to the control of the Board, have general supervision over the business of the Corporation and shall direct the affairs and policies of the Corporation. The Chief Executive Officer may also serve as the Chairperson of the Board or as President, if so elected by the Board. The Chief Executive Officer shall also perform such other duties and may exercise such other powers as may from time to time be assigned to such officer by these Bylaws or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President</w:t>
      </w:r>
      <w:r>
        <w:rPr>
          <w:rFonts w:ascii="Times New Roman" w:hAnsi="Times New Roman"/>
          <w:sz w:val="20"/>
        </w:rPr>
        <w:t xml:space="preserve">.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 The President shall also perform such other duties and may exercise such other powers as may from time to time be assigned to such officer by these Bylaws, the Board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Chief Financial Officer</w:t>
      </w:r>
      <w:r>
        <w:rPr>
          <w:rFonts w:ascii="Times New Roman" w:hAnsi="Times New Roman"/>
          <w:sz w:val="20"/>
        </w:rPr>
        <w:t xml:space="preserve">. The Chief Financial Officer shall be the principal financial officer of the Corporation. The Chief Financial Officer shall also perform such other duties and may exercise such other powers as may from time to time be assigned to such officer by these Bylaws, the Board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Executive Vice Presidents, Senior Vice Presidents and Vice Presidents</w:t>
      </w:r>
      <w:r>
        <w:rPr>
          <w:rFonts w:ascii="Times New Roman" w:hAnsi="Times New Roman"/>
          <w:sz w:val="20"/>
        </w:rPr>
        <w:t xml:space="preserve">. The Executive Vice Presidents (if any), Senior Vice Presidents (if any) and such other Vice Presidents as may have been chosen by the Board or appointed by the Chief Executive Officer in accordance with </w:t>
      </w:r>
      <w:r>
        <w:rPr>
          <w:rFonts w:ascii="Times New Roman" w:hAnsi="Times New Roman"/>
          <w:sz w:val="20"/>
          <w:u w:val="single"/>
        </w:rPr>
        <w:t>Section 3.1</w:t>
      </w:r>
      <w:r>
        <w:rPr>
          <w:rFonts w:ascii="Times New Roman" w:hAnsi="Times New Roman"/>
          <w:sz w:val="20"/>
        </w:rPr>
        <w:t xml:space="preserve"> above shall have such powers and shall perform such duties as shall be assigned to them by the Board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Secretary</w:t>
      </w:r>
      <w:r>
        <w:rPr>
          <w:rFonts w:ascii="Times New Roman" w:hAnsi="Times New Roman"/>
          <w:sz w:val="20"/>
        </w:rPr>
        <w:t xml:space="preserve">. The Secretary shall give the requisite notice of meetings of stockholders and directors and shall record the proceedings of such meetings, shall have custody of the seal of the Corporation and shall affix it or cause it to be affixed to such instruments as require the seal and attest it and, besides the Secretary’s powers and duties prescribed by law, shall have such other powers and perform such other duties as shall be provided in these Bylaws or shall at any time be assigned to such officer by the Board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Treasurer</w:t>
      </w:r>
      <w:r>
        <w:rPr>
          <w:rFonts w:ascii="Times New Roman" w:hAnsi="Times New Roman"/>
          <w:sz w:val="20"/>
        </w:rPr>
        <w:t xml:space="preserve">.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The Treasurer shall have such other powers and perform such other duties as shall be provided in these Bylaws or shall at any time be assigned to such officer by the Board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Assistant Secretaries</w:t>
      </w:r>
      <w:r>
        <w:rPr>
          <w:rFonts w:ascii="Times New Roman" w:hAnsi="Times New Roman"/>
          <w:sz w:val="20"/>
        </w:rPr>
        <w:t xml:space="preserve">. Assistant Secretaries, if there be any, shall assist the Secretary in the discharge of the Secretary’s duties, shall have such powers and perform such other duties as shall at any time be assigned to them by the Board and, in the absence or disability of the Secretary, shall perform the duties of the Secretary’s office, subject to the control of the Board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Assistant Treasurers</w:t>
      </w:r>
      <w:r>
        <w:rPr>
          <w:rFonts w:ascii="Times New Roman" w:hAnsi="Times New Roman"/>
          <w:sz w:val="20"/>
        </w:rPr>
        <w:t xml:space="preserve">. Assistant Treasurers, if there be any, shall assist the Treasurer in the discharge of the Treasurer’s duties, shall have such powers and perform such other duties as shall at any time be assigned to them by the Board and, in the absence or disability of the Treasurer, shall perform the duties of the Treasurer’s office, subject to the control of the Board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Other Officers</w:t>
      </w:r>
      <w:r>
        <w:rPr>
          <w:rFonts w:ascii="Times New Roman" w:hAnsi="Times New Roman"/>
          <w:sz w:val="20"/>
        </w:rPr>
        <w:t xml:space="preserve">. Such other officers as the Board may appoint shall perform such duties and have such powers as from time to time may be assigned to them by the Board. The Board may delegate to any other officer of the Corporation the power to choose such other officers and to prescribe their respective duties and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Certificates</w:t>
      </w:r>
      <w:r>
        <w:rPr>
          <w:rFonts w:ascii="Times New Roman" w:hAnsi="Times New Roman"/>
          <w:sz w:val="20"/>
        </w:rPr>
        <w:t xml:space="preserve">. Shares of capital stock of the Corporation shall be represented solely in book-entry form as uncertificated shares, provided that the Board may provide by resolution at any time that some or all of any classes or series of the Corporation’s capital stock shall be represented by certificates. Every holder of shares of a class or series of capital stock of the Corporation represented by certificates shall be entitled to have a certificate representing the number of such shares owned by such holder in the Corporation unless and until the Board provides by any subsequent resolution that the shares of such class or series shall be represented solely in book-entry form as uncertificated shares; provided, any such resolution shall not apply to shares represented by such certificate until such certificate is surrendered. Certificates shall be in such form as may be determined by the Board, shall be numbered and shall be entered on the books of the Corporation as they are issued. Certificates shall indicate the holder’s name and the number of shares evidenced thereby and shall be signed by or in the name of the Corporation by the Chairperson of the Board, the President or a Vice President, and by the Treasurer or an Assistant Treasurer, or the Secretary or an Assistant Secretary. Any and all of the signatures on the certificate may be provided by a facsimile. In case any officer who has signed or whose facsimile signature has been placed upon a certificate shall have ceased to be such officer before such certificate is issued, it may be issued by the Corporation with the same effect as if such person were still such officer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Record Date</w:t>
      </w:r>
      <w:r>
        <w:rPr>
          <w:rFonts w:ascii="Times New Roman" w:hAnsi="Times New Roman"/>
          <w:sz w:val="20"/>
        </w:rPr>
        <w:t xml:space="preserv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Record Owners</w:t>
      </w:r>
      <w:r>
        <w:rPr>
          <w:rFonts w:ascii="Times New Roman" w:hAnsi="Times New Roman"/>
          <w:sz w:val="20"/>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Transfer and Registry Agents</w:t>
      </w:r>
      <w:r>
        <w:rPr>
          <w:rFonts w:ascii="Times New Roman" w:hAnsi="Times New Roman"/>
          <w:sz w:val="20"/>
        </w:rPr>
        <w:t xml:space="preserve">. The Corporation may from time to time maintain one or more transfer offices or agencies and registry offices or agencies at such place or places as may be determined from time to time by the Board. </w:t>
      </w:r>
    </w:p>
    <w:p>
      <w:pPr>
        <w:pStyle w:val="TextBody"/>
        <w:bidi w:val="0"/>
        <w:spacing w:before="24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Contracts</w:t>
      </w:r>
      <w:r>
        <w:rPr>
          <w:rFonts w:ascii="Times New Roman" w:hAnsi="Times New Roman"/>
          <w:sz w:val="20"/>
        </w:rPr>
        <w:t xml:space="preserve">. The Board may authorize any officer or officers or any agent or agents to enter into any contract or execute and deliver any instrument or other document in the name of and on behalf of the Corporation, and such authority may be general or confined to specific instances.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Disbursements</w:t>
      </w:r>
      <w:r>
        <w:rPr>
          <w:rFonts w:ascii="Times New Roman" w:hAnsi="Times New Roman"/>
          <w:sz w:val="20"/>
        </w:rPr>
        <w:t xml:space="preserve">. All checks or demands for money and notes of the Corporation shall be signed by such officer or officers or such other person or persons as the Board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Fiscal Year</w:t>
      </w:r>
      <w:r>
        <w:rPr>
          <w:rFonts w:ascii="Times New Roman" w:hAnsi="Times New Roman"/>
          <w:sz w:val="20"/>
        </w:rPr>
        <w:t xml:space="preserve">. The fiscal year of the Corporation shall end on the 31st day of December in each year or on such other day as may be fixed from time to time by resolution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Corporate Seal</w:t>
      </w:r>
      <w:r>
        <w:rPr>
          <w:rFonts w:ascii="Times New Roman" w:hAnsi="Times New Roman"/>
          <w:sz w:val="20"/>
        </w:rPr>
        <w:t xml:space="preserve">. The corporate seal shall have inscribed thereon the name of the Corporation, the year of its organization and the words “Corporate Seal, Delaware.” The seal may be used by causing it or a facsimile thereof to be impressed or affixed or otherwise reproduced.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Offices</w:t>
      </w:r>
      <w:r>
        <w:rPr>
          <w:rFonts w:ascii="Times New Roman" w:hAnsi="Times New Roman"/>
          <w:sz w:val="20"/>
        </w:rPr>
        <w:t xml:space="preserve">. The Corporation shall maintain a registered office inside the State of Delaware and may also have other offices outside or inside the State of Delaware. The books and records of the Corporation may be kept (subject to any applicable law) outside the State of Delaware at the principal executive offices of the Corporation or at such other place or places as may be designated from time to time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Waiver of Notice</w:t>
      </w:r>
      <w:r>
        <w:rPr>
          <w:rFonts w:ascii="Times New Roman" w:hAnsi="Times New Roman"/>
          <w:sz w:val="20"/>
        </w:rPr>
        <w:t xml:space="preserve">. Whenever any notice is required to be given to any stockholder or director of the Corporation under the provisions of the DGCL or these Bylaws, a waiver thereof in writing, signed by the person or persons entitled to such notice, or a waiver by electronic transmission by the person or persons entitled to such notice, whether before or after the time stated therein, shall be deemed equivalent to the giving of such notice. Neither the business to be transacted at, nor the purpose of, any annual or special meeting of the stockholders or any regular or special meeting of the Board or committee thereof need be specified in any waiver of notice of such meeting unless so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Severability</w:t>
      </w:r>
      <w:r>
        <w:rPr>
          <w:rFonts w:ascii="Times New Roman" w:hAnsi="Times New Roman"/>
          <w:sz w:val="20"/>
        </w:rPr>
        <w:t xml:space="preserve">. To the extent any provision of these Bylaws would be, in the absence of this </w:t>
      </w:r>
      <w:r>
        <w:rPr>
          <w:rFonts w:ascii="Times New Roman" w:hAnsi="Times New Roman"/>
          <w:sz w:val="20"/>
          <w:u w:val="single"/>
        </w:rPr>
        <w:t>Section 5.7</w:t>
      </w:r>
      <w:r>
        <w:rPr>
          <w:rFonts w:ascii="Times New Roman" w:hAnsi="Times New Roman"/>
          <w:sz w:val="20"/>
        </w:rPr>
        <w:t xml:space="preserve">, invalid, illegal or unenforceable for any reason whatsoever, such provision shall be severable from the other provisions of these Bylaws, and all provisions of these Bylaws shall be construed so as to give effect to the intent manifested by these Bylaws, including, to the maximum extent possible, the provision that would be otherwise invalid, illegal or unenforceable.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7.5</w:t>
      </w:r>
      <w:r>
        <w:rPr>
          <w:rFonts w:ascii="Times New Roman" w:hAnsi="Times New Roman"/>
          <w:sz w:val="20"/>
        </w:rPr>
        <w:t xml:space="preserve"> below, these Bylaws may be adopted, amended, altered or repealed by the Board. The affirmative vote of at least a majority of the Board then in office shall be required in order for the Board to adopt, amend, alter or repeal the Corporation’s Bylaws. The Bylaws may also be adopted, amended, altered or repealed by the stockholders of the Corporation in accordance with the Certificate of Incorporation and the DGCL, subject to any limitations prescribed by any series of preferred stock.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EMERGENCY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Emergency Bylaws</w:t>
      </w:r>
      <w:r>
        <w:rPr>
          <w:rFonts w:ascii="Times New Roman" w:hAnsi="Times New Roman"/>
          <w:sz w:val="20"/>
        </w:rPr>
        <w:t xml:space="preserve">. This </w:t>
      </w:r>
      <w:r>
        <w:rPr>
          <w:rFonts w:ascii="Times New Roman" w:hAnsi="Times New Roman"/>
          <w:sz w:val="20"/>
          <w:u w:val="single"/>
        </w:rPr>
        <w:t>Article VII</w:t>
      </w:r>
      <w:r>
        <w:rPr>
          <w:rFonts w:ascii="Times New Roman" w:hAnsi="Times New Roman"/>
          <w:sz w:val="20"/>
        </w:rPr>
        <w:t xml:space="preserve"> shall be operative during any emergency, disaster or catastrophe, as referred to in Section 110 of the DGCL or other similar emergency condition (including a pandemic), as a result of which a quorum of the Board or a committee thereof cannot readily be convened for action (each, an “</w:t>
      </w:r>
      <w:r>
        <w:rPr>
          <w:rFonts w:ascii="Times New Roman" w:hAnsi="Times New Roman"/>
          <w:b/>
          <w:sz w:val="20"/>
        </w:rPr>
        <w:t>Emergency</w:t>
      </w:r>
      <w:r>
        <w:rPr>
          <w:rFonts w:ascii="Times New Roman" w:hAnsi="Times New Roman"/>
          <w:sz w:val="20"/>
        </w:rPr>
        <w:t xml:space="preserve">”), notwithstanding any different or conflicting provision in the preceding Sections of these Bylaws or in the Certificate of Incorporation. To the extent not inconsistent with the provisions of this </w:t>
      </w:r>
      <w:r>
        <w:rPr>
          <w:rFonts w:ascii="Times New Roman" w:hAnsi="Times New Roman"/>
          <w:sz w:val="20"/>
          <w:u w:val="single"/>
        </w:rPr>
        <w:t>Article VII</w:t>
      </w:r>
      <w:r>
        <w:rPr>
          <w:rFonts w:ascii="Times New Roman" w:hAnsi="Times New Roman"/>
          <w:sz w:val="20"/>
        </w:rPr>
        <w:t xml:space="preserve">, the preceding Sections of these Bylaws and the provisions of the Certificate of Incorporation shall remain in effect during such Emergency, and upon termination of such Emergency, the provisions of this </w:t>
      </w:r>
      <w:r>
        <w:rPr>
          <w:rFonts w:ascii="Times New Roman" w:hAnsi="Times New Roman"/>
          <w:sz w:val="20"/>
          <w:u w:val="single"/>
        </w:rPr>
        <w:t>Article VII</w:t>
      </w:r>
      <w:r>
        <w:rPr>
          <w:rFonts w:ascii="Times New Roman" w:hAnsi="Times New Roman"/>
          <w:sz w:val="20"/>
        </w:rPr>
        <w:t xml:space="preserve"> shall cease to be operative unless and until another Emergency shall occur.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Meetings; Notice</w:t>
      </w:r>
      <w:r>
        <w:rPr>
          <w:rFonts w:ascii="Times New Roman" w:hAnsi="Times New Roman"/>
          <w:sz w:val="20"/>
        </w:rPr>
        <w:t xml:space="preserve">. During any Emergency, a meeting of the Board or any committee thereof may be called by any member of the Board or such committee or the Chairperson of the Board, the Chief Executive Officer, the President or the Secretary of the Corporation. Notice of the place, date and time of the meeting shall be given by any available means of communication by the person calling the meeting to such of the directors or committee members and Designated Officers (as defined below) as, in the judgment of the person calling the meeting, it may be feasible to reach. Such notice shall be given at such time in advance of the meeting as, in the judgment of the person calling the meeting, circumstances permit.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Quorum</w:t>
      </w:r>
      <w:r>
        <w:rPr>
          <w:rFonts w:ascii="Times New Roman" w:hAnsi="Times New Roman"/>
          <w:sz w:val="20"/>
        </w:rPr>
        <w:t xml:space="preserve">. At any meeting of the Board called in accordance with </w:t>
      </w:r>
      <w:r>
        <w:rPr>
          <w:rFonts w:ascii="Times New Roman" w:hAnsi="Times New Roman"/>
          <w:sz w:val="20"/>
          <w:u w:val="single"/>
        </w:rPr>
        <w:t>Section 7.2</w:t>
      </w:r>
      <w:r>
        <w:rPr>
          <w:rFonts w:ascii="Times New Roman" w:hAnsi="Times New Roman"/>
          <w:sz w:val="20"/>
        </w:rPr>
        <w:t xml:space="preserve"> above, the presence or participation of three directors shall constitute a quorum for the transaction of business, and at any meeting of any committee of the Board called in accordance with </w:t>
      </w:r>
      <w:r>
        <w:rPr>
          <w:rFonts w:ascii="Times New Roman" w:hAnsi="Times New Roman"/>
          <w:sz w:val="20"/>
          <w:u w:val="single"/>
        </w:rPr>
        <w:t>Section 7.2</w:t>
      </w:r>
      <w:r>
        <w:rPr>
          <w:rFonts w:ascii="Times New Roman" w:hAnsi="Times New Roman"/>
          <w:sz w:val="20"/>
        </w:rPr>
        <w:t xml:space="preserve"> above, the presence or participation of one committee member shall constitute a quorum for the transaction of business. In the event that the requisite number of directors is not able to attend a meeting of the Board or any committee thereof, then the Designated Officers in attendance shall serve as directors, or committee members, as the case may be, for the meeting, without any additional quorum requirement and will have full powers to act as directors, or committee members, as the case may be,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Liability</w:t>
      </w:r>
      <w:r>
        <w:rPr>
          <w:rFonts w:ascii="Times New Roman" w:hAnsi="Times New Roman"/>
          <w:sz w:val="20"/>
        </w:rPr>
        <w:t xml:space="preserve">. No officer, director or employee of the Corporation acting in accordance with the provisions of this </w:t>
      </w:r>
      <w:r>
        <w:rPr>
          <w:rFonts w:ascii="Times New Roman" w:hAnsi="Times New Roman"/>
          <w:sz w:val="20"/>
          <w:u w:val="single"/>
        </w:rPr>
        <w:t>Article VII</w:t>
      </w:r>
      <w:r>
        <w:rPr>
          <w:rFonts w:ascii="Times New Roman" w:hAnsi="Times New Roman"/>
          <w:sz w:val="20"/>
        </w:rPr>
        <w:t xml:space="preserve"> shall be liable except for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Amendments</w:t>
      </w:r>
      <w:r>
        <w:rPr>
          <w:rFonts w:ascii="Times New Roman" w:hAnsi="Times New Roman"/>
          <w:sz w:val="20"/>
        </w:rPr>
        <w:t xml:space="preserve">. At any meeting called in accordance with </w:t>
      </w:r>
      <w:r>
        <w:rPr>
          <w:rFonts w:ascii="Times New Roman" w:hAnsi="Times New Roman"/>
          <w:sz w:val="20"/>
          <w:u w:val="single"/>
        </w:rPr>
        <w:t>Section 7.2</w:t>
      </w:r>
      <w:r>
        <w:rPr>
          <w:rFonts w:ascii="Times New Roman" w:hAnsi="Times New Roman"/>
          <w:sz w:val="20"/>
        </w:rPr>
        <w:t xml:space="preserve"> above, the Board, or any committee thereof, as the case may be, may modify, amend or add to the provisions of this </w:t>
      </w:r>
      <w:r>
        <w:rPr>
          <w:rFonts w:ascii="Times New Roman" w:hAnsi="Times New Roman"/>
          <w:sz w:val="20"/>
          <w:u w:val="single"/>
        </w:rPr>
        <w:t>Article VII</w:t>
      </w:r>
      <w:r>
        <w:rPr>
          <w:rFonts w:ascii="Times New Roman" w:hAnsi="Times New Roman"/>
          <w:sz w:val="20"/>
        </w:rPr>
        <w:t xml:space="preserve"> as it deems it to be in the best interests of the Corporation and as is practical or necessary for the circumstances of the Emergency.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Repeal or Change</w:t>
      </w:r>
      <w:r>
        <w:rPr>
          <w:rFonts w:ascii="Times New Roman" w:hAnsi="Times New Roman"/>
          <w:sz w:val="20"/>
        </w:rPr>
        <w:t xml:space="preserve">. The provisions of this </w:t>
      </w:r>
      <w:r>
        <w:rPr>
          <w:rFonts w:ascii="Times New Roman" w:hAnsi="Times New Roman"/>
          <w:sz w:val="20"/>
          <w:u w:val="single"/>
        </w:rPr>
        <w:t>Article VII</w:t>
      </w:r>
      <w:r>
        <w:rPr>
          <w:rFonts w:ascii="Times New Roman" w:hAnsi="Times New Roman"/>
          <w:sz w:val="20"/>
        </w:rPr>
        <w:t xml:space="preserve"> shall be subject to repeal or change by further action of the Board or by action of the stockholders pursuant to </w:t>
      </w:r>
      <w:r>
        <w:rPr>
          <w:rFonts w:ascii="Times New Roman" w:hAnsi="Times New Roman"/>
          <w:sz w:val="20"/>
          <w:u w:val="single"/>
        </w:rPr>
        <w:t>Article VI</w:t>
      </w:r>
      <w:r>
        <w:rPr>
          <w:rFonts w:ascii="Times New Roman" w:hAnsi="Times New Roman"/>
          <w:sz w:val="20"/>
        </w:rPr>
        <w:t xml:space="preserve"> of these Bylaws, but no such repeal or change shall modify the provisions of </w:t>
      </w:r>
      <w:r>
        <w:rPr>
          <w:rFonts w:ascii="Times New Roman" w:hAnsi="Times New Roman"/>
          <w:sz w:val="20"/>
          <w:u w:val="single"/>
        </w:rPr>
        <w:t>Section 7.4</w:t>
      </w:r>
      <w:r>
        <w:rPr>
          <w:rFonts w:ascii="Times New Roman" w:hAnsi="Times New Roman"/>
          <w:sz w:val="20"/>
        </w:rPr>
        <w:t xml:space="preserve"> above with regard to action taken prior to the time of such repeal or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Definitions</w:t>
      </w:r>
      <w:r>
        <w:rPr>
          <w:rFonts w:ascii="Times New Roman" w:hAnsi="Times New Roman"/>
          <w:sz w:val="20"/>
        </w:rPr>
        <w:t xml:space="preserve">. For purposes of this </w:t>
      </w:r>
      <w:r>
        <w:rPr>
          <w:rFonts w:ascii="Times New Roman" w:hAnsi="Times New Roman"/>
          <w:sz w:val="20"/>
          <w:u w:val="single"/>
        </w:rPr>
        <w:t>Article VII</w:t>
      </w:r>
      <w:r>
        <w:rPr>
          <w:rFonts w:ascii="Times New Roman" w:hAnsi="Times New Roman"/>
          <w:sz w:val="20"/>
        </w:rPr>
        <w:t>, the term “</w:t>
      </w:r>
      <w:r>
        <w:rPr>
          <w:rFonts w:ascii="Times New Roman" w:hAnsi="Times New Roman"/>
          <w:b/>
          <w:sz w:val="20"/>
        </w:rPr>
        <w:t>Designated Officer</w:t>
      </w:r>
      <w:r>
        <w:rPr>
          <w:rFonts w:ascii="Times New Roman" w:hAnsi="Times New Roman"/>
          <w:sz w:val="20"/>
        </w:rPr>
        <w:t xml:space="preserve">”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officers have been designated by the Board from time to time but in any event prior to such time or times as an Emergency may have occurred.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Adopted as of: February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right"/>
        <w:rPr>
          <w:rFonts w:ascii="Times New Roman" w:hAnsi="Times New Roman"/>
          <w:b/>
          <w:sz w:val="20"/>
        </w:rPr>
      </w:pPr>
      <w:bookmarkStart w:id="46" w:name="d31834dex41.htm"/>
      <w:bookmarkStart w:id="47" w:name="ksd31834dex41"/>
      <w:bookmarkEnd w:id="46"/>
      <w:bookmarkEnd w:id="47"/>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Description of the Registrant’s Securities Registered Pursuant to Section 12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terms of SOLV Energy, Inc.’s (“we,” “us,” “our” or the “Company”) capital stock is not complete and is qualified in its entirety by reference to our amended and restated certificate of incorporation (the “Certificate of Incorporation”) and amended and restated bylaws (the “Bylaws”), each filed with the Securities and Exchange Commission as exhibits to the Annual Report on Form 10-K, of which this Exhibit 4.1 is a part, as well as to the applicable provisions of the Delaware General Corporation Law (the “DGCL”). Capitalized terms used but not defined herein shall have the meaning ascribed to them in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authorizes capital stock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1,250,000,000 shares of Class A common stock, par value $0.0001 per share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of Class B common stock, par value $0.0001 per share (“Class B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20,000,000 shares of preferred stock, par value $0.0001 per share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Class A common stock is registered under Section 12 of the Securities Exchange Act of 1934, as amended (the “Exchange Act”) and listed for trading on The Nasdaq Stock Market LLC (“Nasdaq”).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Class A common stock are entitled to one vote for each share held of record on all matters submitted to a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A common stock do not have preemptive, subscription, redemption or conversion rights. There are no redemption or sinking fund provisions applicable to the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Class B common stock entitles its holders to one vote per share on all matters presented to our stockholders generally. </w:t>
      </w:r>
    </w:p>
    <w:p>
      <w:pPr>
        <w:pStyle w:val="TextBody"/>
        <w:bidi w:val="0"/>
        <w:spacing w:before="240" w:after="0"/>
        <w:jc w:val="left"/>
        <w:rPr>
          <w:rFonts w:ascii="Times New Roman" w:hAnsi="Times New Roman"/>
          <w:sz w:val="20"/>
        </w:rPr>
      </w:pPr>
      <w:r>
        <w:rPr>
          <w:rFonts w:ascii="Times New Roman" w:hAnsi="Times New Roman"/>
          <w:sz w:val="20"/>
        </w:rPr>
        <w:t xml:space="preserve">Shares of Class B common stock will be issued in the future only to the extent necessary to maintain a one-to-one ratio between the number of common units of SOLV Energy Holdings LLC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shares of our Class B common stock will vote together with holders of our Class A common stock as a single class on all matters presented to our stockholders for their vote or approval, except for certain amendments to our Certificate of Incorporation described below or as otherwise required by applicable law or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Class B common stock do not have any right to receive dividends or to receive a distribution upon dissolution or liquidation. Additionally, holders of shares of our Class B common stock do not have preemptive, subscription, redemption or conversion rights. There are no redemption or sinking fund provisions applicable to the Class B common stock. Any amendment of our Certificate of Incorporation that gives holders of our Class B common stock (i) any rights to receive dividends or any other kind of distribution, (ii) any right to convert into or be exchanged for Class A common stock or (iii) any other economic rights requires, in addition to stockholder approval, the affirmative vote of holders of our Class A common stock voting separately as a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At any meeting of stockholders at which directors are to be elected, directors will be elected by a plurality of the votes cast by the holders of shares of our Class A common stock and Class B common stock present in person or represented by proxy at the meeting and entitled to vote on the election of directors. We have also adopted a majority voting policy in our corporate governance guidelines that will require that a director who fails to achieve a majority of votes cast in an uncontested election will be required to tender his or her resignation from the board of directors. The Nominating and Corporate Governance Committee will assess the appropriateness of such director’s continuing service on the board of directors and shall recommend to the board of directors the action to be taken with respect to the tendered resignation. Vacancies created by resignations or otherwise may be filled by vote of the remaining directors. Our stockholders do not have cumulative voting rights. Except as otherwise provided in our Certificate of Incorporation, our Bylaws or as required by law, all matters to be voted on by our stockholders other than matters relating to the election of directors must be approved by a majority of the voting power of the shares of capital stock present in person, by means of remote communication, if any, or represented by proxy at the meeting and entitled to vote on such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20,000,000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(i) (a) any derivative action or proceeding brought on behalf of the Company under Delaware law, (b) any action asserting a claim of breach of a fiduciary duty owed by any current or former director, officer, or other employee of the Company to the Company or the Company’s stockholders, (c) any action asserting a claim against the Company or any of its directors, officers or other employees arising pursuant to any provision of the DGCL, our Certificate of Incorporation or our Bylaws (as either may be amended or restated) or as to which the DGCL confers jurisdiction on the Court of Chancery of the State of Delaware, (d) any action asserting a claim against the Company or any of its directors, officers, or other employees governed by the internal affairs doctrine of the law of the State of Delaware or (e) any other action asserting an “internal corporate claim,” as defined in Section 115 of the DGCL, in all cases subject to the court’s having personal jurisdiction over all indispensable parties named as defendants shall, to the fullest extent permitted by law, be exclusively brought in the Court of Chancery of the State of Delaware or, if such court does not have subject matter jurisdiction thereof, the federal district court of the State of Delaware; and (ii) the federal district courts of the United States shall be the exclusive forum for the resolution of any complaint asserting a cause of action arising under the Securities Act of 1933, as amended. Notwithstanding the foregoing, the exclusive forum provision shall not apply to claims seeking to enforce any liability or duty created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any person or entity purchasing or otherwise acquiring or holding any interest in any shares of our capital stock shall be deemed to have notice of and consented to the forum provision in our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that our board of directors be divided into three classes, with the classes as nearly equal in number as possible and each class serving three-year staggered terms. This provision may have the effect of deferring, delaying or discouraging hostile takeovers, or changes in control of us or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So long as our board of directors remains classified, directors may be removed only for cause by the affirmative vote of a majority of the voting power of all of our then-outstanding shares of capital stock entitled to vote generally in the election of directors,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until the date when American Securities Related Parties cease to beneficially own more than 50% of the voting power of all of our then-outstanding shares of capital stock, a special meeting of stockholders may be called only by the chairperson of our board of directors, a majority of our board of directors, or our chief executive officer, or our corporate secretary at the request of the holders of at least a majority of the voting power of all of our then-outstanding shares of capital stock. From and after the date when American Securities Related Parties cease to beneficially own more than 50% of the voting power of all of our then-outstanding shares of capital stock, only the chairperson of our board of directors, a majority of our board of directors, or our chief executive officer may call special meetings of our stockholders. This provision may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at any time when American Securities Related Parties beneficially own at least 50% of the combined voting power of all of our then-outstanding shares of capital stock, our stockholders may take action by consent without a meeting, and at any time when American Securities Related Parties beneficially own less than 50% of the combined voting power of all of our then-outstanding shares of capital stock, our stockholders may not take action by consent without a meeting, but may only take action at a meeting of stockholders. This provision may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Bylaws contain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Stockholders at an annual meeting may only consider proposals or nominations specified in the notice of meeting or brought before the meeting by or at the direction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may be amended or repealed by a majority vote of our board of directors or by the affirmative vote of a majority of the voting power of all then-outstanding shares of capital stock. Any amendment to our Certificate of Incorporation must first be approved by a majority of our board of directors and if required by law, thereafter be approved by a majority of our then-outstanding shares of capital stock entitled to vote thereon, subject to certain exceptions as described in “—Common Stock—Class B common stock”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have opted out of Section 203 of the DGCL. However, our Certificate of Incorporation contains provisions that are similar to Section 203. Specifically, our Certificate of Incorporation provides that, subject to certain exceptions, we are not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but will exclude American Securities Related Parties and their affiliates and transferees. Although we have elected to opt out of the statute’s provisions, we could elect to be subject to Section 203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Certificate of Incorporation includes provisions that eliminate the personal liability of our directors and officers for monetary damages resulting from breaches of certain fiduciary duties as a director or officer, applicable. The effect of this provision is to restrict our rights and the rights of our stockholders in derivative suits to recover monetary damages against a director or officer for breach of fiduciary duties as a director or officer,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be held not to be enforceable for violations of the federal securities laws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Opportunity Doctrine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Our Certificate of Incorporation provides that we, to the maximum extent permitted from time to time by Delaware law, renounce any interest or expectancy that we have in, or right to be offered an opportunity to participate in, specified business opportunities that are from time to time presented to American Securities or its affiliates or any of our directors who are employees of or affiliated with American Securities or any director or stockholder who is not employed by us or our subsidiaries. Our Certificate of Incorporation provide that, to the fullest extent permitted by law, American Securities or any of our directors who are employees of or affiliated with American Securities or any director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who is not employed by us or our affiliates will not have any duty to refrain from (i) engaging in a corporate opportunity in the same or similar lines of business in which we or our affiliates now engage or propose to engage or (ii) otherwise competing with us or our affiliates. In addition, to the fullest extent permitted by law, if American Securities or its affiliates or any of our directors who are employees of or affiliated with American Securities or any director or stockholder who is not employed by us or our subsidiaries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(i) we or our subsidiaries would be permitted to undertake such transaction or opportunity in accordance with the Certificate of Incorporation, (ii) we or our subsidiaries, at such time have sufficient financial resources to undertake such transaction or opportunity, (iii) we have an interest or expectancy in such transaction or opportunity and (iv) such transaction or opportunity would be in the same or similar line of our or our subsidiaries’ business in which we or our subsidiaries are engaged or a line of business that is reasonably related to, or a reasonable extension of, such line of business. Our Certificate of Incorporation does not renounce our interest in any business opportunity that is expressly offered to an employee director or employee in his or her capacity as a director or employee of SOLV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will have appraisal rights in connection with a merger or consolidation of SOLV Energy, Inc.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28 Liberty Street, 53rd Floor, New York, NY 10005.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Nasdaq under the symbol “MWH.” There is no public trading market for our Class B common stock. </w:t>
      </w:r>
    </w:p>
    <w:p>
      <w:pPr>
        <w:pStyle w:val="TextBody"/>
        <w:bidi w:val="0"/>
        <w:spacing w:before="0" w:after="0"/>
        <w:jc w:val="right"/>
        <w:rPr>
          <w:rFonts w:ascii="Times New Roman" w:hAnsi="Times New Roman"/>
          <w:b/>
          <w:sz w:val="20"/>
        </w:rPr>
      </w:pPr>
      <w:bookmarkStart w:id="48" w:name="d31834dex191.htm"/>
      <w:bookmarkStart w:id="49" w:name="ksd31834dex191"/>
      <w:bookmarkEnd w:id="48"/>
      <w:bookmarkEnd w:id="49"/>
      <w:r>
        <w:rPr>
          <w:rFonts w:ascii="Times New Roman" w:hAnsi="Times New Roman"/>
          <w:b/>
          <w:sz w:val="20"/>
        </w:rPr>
        <w:t xml:space="preserve">Exhibit 19.1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24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240" w:after="0"/>
        <w:jc w:val="left"/>
        <w:rPr>
          <w:rFonts w:ascii="Times New Roman" w:hAnsi="Times New Roman"/>
          <w:b/>
          <w:sz w:val="20"/>
        </w:rPr>
      </w:pPr>
      <w:r>
        <w:rPr>
          <w:rFonts w:ascii="Times New Roman" w:hAnsi="Times New Roman"/>
          <w:b/>
          <w:sz w:val="20"/>
        </w:rPr>
        <w:t xml:space="preserve">I. INTRODUCTION </w:t>
      </w:r>
    </w:p>
    <w:p>
      <w:pPr>
        <w:pStyle w:val="TextBody"/>
        <w:bidi w:val="0"/>
        <w:spacing w:before="120" w:after="0"/>
        <w:jc w:val="left"/>
        <w:rPr>
          <w:rFonts w:ascii="Times New Roman" w:hAnsi="Times New Roman"/>
          <w:b/>
          <w:sz w:val="20"/>
        </w:rPr>
      </w:pPr>
      <w:r>
        <w:rPr>
          <w:rFonts w:ascii="Times New Roman" w:hAnsi="Times New Roman"/>
          <w:b/>
          <w:sz w:val="20"/>
        </w:rPr>
        <w:t xml:space="preserve">A. 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this Insider Trading Policy (this “Policy”) is to help SOLV Energy, Inc. and its subsidiaries (the “Company”) comply with U.S. federal and state securities laws, as well as similar laws in other countries where the Company may do business, and to preserve the reputation and integrity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 What Is Illegal and Prohibited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Illegal and prohibited insider trading occurs when you or your family members trade securities when in possession of material non-public information or provide material non-public information to another person who may trade based on that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 What Securities and Transactions are Subject to this Policy? </w:t>
      </w:r>
    </w:p>
    <w:p>
      <w:pPr>
        <w:pStyle w:val="TextBody"/>
        <w:bidi w:val="0"/>
        <w:spacing w:before="120" w:after="0"/>
        <w:jc w:val="left"/>
        <w:rPr>
          <w:rFonts w:ascii="Times New Roman" w:hAnsi="Times New Roman"/>
          <w:sz w:val="20"/>
        </w:rPr>
      </w:pPr>
      <w:r>
        <w:rPr>
          <w:rFonts w:ascii="Times New Roman" w:hAnsi="Times New Roman"/>
          <w:sz w:val="20"/>
        </w:rPr>
        <w:t xml:space="preserve">This Policy applies to transactions in the Company’s securities, including common stock, options, or any other type of security that the Company may issue, such as preferred stock, debt, convertible debt and warrants, as well as derivative securities that are not issued by the Company such as exchange-traded put or call options or swaps relating to the Company, or securities issued by the Company (collectively, “Company Securities”). This Policy also applies to securities of other companies if you become aware of material non-public information in the course of your position with the Company as described in Section II.A.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Transactions subject to this policy include purchases, sales, </w:t>
      </w:r>
      <w:r>
        <w:rPr>
          <w:rFonts w:ascii="Times New Roman" w:hAnsi="Times New Roman"/>
          <w:i/>
          <w:sz w:val="20"/>
        </w:rPr>
        <w:t>bona fide</w:t>
      </w:r>
      <w:r>
        <w:rPr>
          <w:rFonts w:ascii="Times New Roman" w:hAnsi="Times New Roman"/>
          <w:sz w:val="20"/>
        </w:rPr>
        <w:t xml:space="preserve"> gifts and other acquisitions and dispositions of Company Securities and transactions in other companies as described in Section II.A below, unless otherwise specified herein, including under Sections III.E, F and G below. This Policy does not apply to transactions in mutual funds, index funds or ETFs that are invested in a broad portfolio of companies including Company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 Who is Subject to this Policy? </w:t>
      </w:r>
    </w:p>
    <w:p>
      <w:pPr>
        <w:pStyle w:val="TextBody"/>
        <w:bidi w:val="0"/>
        <w:spacing w:before="120" w:after="0"/>
        <w:jc w:val="left"/>
        <w:rPr>
          <w:rFonts w:ascii="Times New Roman" w:hAnsi="Times New Roman"/>
          <w:sz w:val="20"/>
        </w:rPr>
      </w:pPr>
      <w:r>
        <w:rPr>
          <w:rFonts w:ascii="Times New Roman" w:hAnsi="Times New Roman"/>
          <w:sz w:val="20"/>
        </w:rPr>
        <w:t xml:space="preserve">(1) Company Personnel: </w:t>
      </w:r>
    </w:p>
    <w:p>
      <w:pPr>
        <w:pStyle w:val="TextBody"/>
        <w:bidi w:val="0"/>
        <w:spacing w:before="240" w:after="0"/>
        <w:jc w:val="left"/>
        <w:rPr>
          <w:rFonts w:ascii="Times New Roman" w:hAnsi="Times New Roman"/>
          <w:sz w:val="20"/>
        </w:rPr>
      </w:pPr>
      <w:r>
        <w:rPr>
          <w:rFonts w:ascii="Times New Roman" w:hAnsi="Times New Roman"/>
          <w:sz w:val="20"/>
        </w:rPr>
        <w:t xml:space="preserve">All directors, officers and employees of the Company and its subsidiaries and those acting on behalf of the Company, such as auditors, agents, and consultants (collectively, “Company Personnel”). The use of “you” throughout this Policy speaks directly to Company Personnel. </w:t>
      </w:r>
    </w:p>
    <w:p>
      <w:pPr>
        <w:pStyle w:val="TextBody"/>
        <w:bidi w:val="0"/>
        <w:spacing w:before="240" w:after="0"/>
        <w:jc w:val="left"/>
        <w:rPr>
          <w:rFonts w:ascii="Times New Roman" w:hAnsi="Times New Roman"/>
          <w:sz w:val="20"/>
        </w:rPr>
      </w:pPr>
      <w:r>
        <w:rPr>
          <w:rFonts w:ascii="Times New Roman" w:hAnsi="Times New Roman"/>
          <w:sz w:val="20"/>
        </w:rPr>
        <w:t xml:space="preserve">(2) Family Members and Others Living in Your Household: </w:t>
      </w:r>
    </w:p>
    <w:p>
      <w:pPr>
        <w:pStyle w:val="TextBody"/>
        <w:bidi w:val="0"/>
        <w:spacing w:before="240" w:after="0"/>
        <w:jc w:val="left"/>
        <w:rPr/>
      </w:pPr>
      <w:r>
        <w:rPr/>
        <w:t>“</w:t>
      </w:r>
      <w:r>
        <w:rPr>
          <w:rFonts w:ascii="Times New Roman" w:hAnsi="Times New Roman"/>
          <w:sz w:val="20"/>
        </w:rPr>
        <w:t xml:space="preserve">Family Members” refers to anyone who lives in the household of Company Personnel, whether or not family members, and any child, stepchild, grandchild, parent, stepparent, grandparent, spouse, sibling, and in-law, in each case, whose transactions are subject to your influence or control. You are responsible for the transactions of Family Members and therefore should inform your Family Members of the need to confer with you before they trade in Company Securities. This Policy does not, however, apply to personal securities transactions of Family Members where the transaction decision is made by a third party not controlled by, influenced by or related to you or your Family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Controlled Entities </w:t>
      </w:r>
    </w:p>
    <w:p>
      <w:pPr>
        <w:pStyle w:val="TextBody"/>
        <w:bidi w:val="0"/>
        <w:spacing w:before="120" w:after="0"/>
        <w:jc w:val="left"/>
        <w:rPr/>
      </w:pPr>
      <w:r>
        <w:rPr/>
        <w:t>“</w:t>
      </w:r>
      <w:r>
        <w:rPr>
          <w:rFonts w:ascii="Times New Roman" w:hAnsi="Times New Roman"/>
          <w:sz w:val="20"/>
        </w:rPr>
        <w:t xml:space="preserve">Controlled Entities” are any entities or accounts, including corporations, partnerships or trusts, which are under your influence or control with respect to transactions in Company Securities. Transactions by such Controlled Entities should be treated as if they were for the account of you or your Family Member for the purposes of this Policy and applicable securities laws. </w:t>
      </w:r>
    </w:p>
    <w:p>
      <w:pPr>
        <w:pStyle w:val="TextBody"/>
        <w:bidi w:val="0"/>
        <w:spacing w:before="360" w:after="0"/>
        <w:jc w:val="left"/>
        <w:rPr>
          <w:rFonts w:ascii="Times New Roman" w:hAnsi="Times New Roman"/>
          <w:sz w:val="20"/>
        </w:rPr>
      </w:pPr>
      <w:r>
        <w:rPr>
          <w:rFonts w:ascii="Times New Roman" w:hAnsi="Times New Roman"/>
          <w:sz w:val="20"/>
        </w:rPr>
        <w:t xml:space="preserve">(4) Designated Persons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as specified in Section III.A of this Policy, Designated Persons are subject to additional restrictions. The following are “Designated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officers (as defined in Rule 16a-1(f) of the Securities Exchange Act of 1934, as amended (the “Exchange Act”))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Family Members and Controlled Entities of directors and officers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key financial and communications employees or such other persons as may be designated from time to time by the Chief Legal Officer, and Family Members and Controlled Entities of such employees or other persons.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 Questions </w:t>
      </w:r>
    </w:p>
    <w:p>
      <w:pPr>
        <w:pStyle w:val="TextBody"/>
        <w:bidi w:val="0"/>
        <w:spacing w:before="120" w:after="0"/>
        <w:jc w:val="left"/>
        <w:rPr>
          <w:rFonts w:ascii="Times New Roman" w:hAnsi="Times New Roman"/>
          <w:sz w:val="20"/>
        </w:rPr>
      </w:pPr>
      <w:r>
        <w:rPr>
          <w:rFonts w:ascii="Times New Roman" w:hAnsi="Times New Roman"/>
          <w:sz w:val="20"/>
        </w:rPr>
        <w:t xml:space="preserve">Questions about this Policy or any proposed transaction should be directed to the Chief Legal Officer or the Chief Legal Officer’s designee (the “Chief Legal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F. Individual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You are responsible for complying with this Policy, including for determining whether you are in possession of material non-public information. Any action on the part of the Company, the Legal Department or Company Personnel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 </w:t>
      </w:r>
    </w:p>
    <w:p>
      <w:pPr>
        <w:pStyle w:val="TextBody"/>
        <w:bidi w:val="0"/>
        <w:spacing w:before="360" w:after="0"/>
        <w:jc w:val="left"/>
        <w:rPr>
          <w:rFonts w:ascii="Times New Roman" w:hAnsi="Times New Roman"/>
          <w:b/>
          <w:sz w:val="20"/>
        </w:rPr>
      </w:pPr>
      <w:r>
        <w:rPr>
          <w:rFonts w:ascii="Times New Roman" w:hAnsi="Times New Roman"/>
          <w:b/>
          <w:sz w:val="20"/>
        </w:rPr>
        <w:t xml:space="preserve">G. Company Trading in Company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Board may from time to time authorize the Company to repurchase Company Securities under such terms and conditions that the Board may determine. The Company will not engage in transactions in Company Securities, except in compliance with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II. INSIDER TRADING </w:t>
      </w:r>
    </w:p>
    <w:p>
      <w:pPr>
        <w:pStyle w:val="TextBody"/>
        <w:bidi w:val="0"/>
        <w:spacing w:before="120" w:after="0"/>
        <w:jc w:val="left"/>
        <w:rPr>
          <w:rFonts w:ascii="Times New Roman" w:hAnsi="Times New Roman"/>
          <w:b/>
          <w:sz w:val="20"/>
        </w:rPr>
      </w:pPr>
      <w:r>
        <w:rPr>
          <w:rFonts w:ascii="Times New Roman" w:hAnsi="Times New Roman"/>
          <w:b/>
          <w:sz w:val="20"/>
        </w:rPr>
        <w:t xml:space="preserve">A. Policy Prohibiting Insider Trading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 Trading on Material Non-Public Information. </w:t>
            </w:r>
            <w:r>
              <w:rPr>
                <w:rFonts w:ascii="Times New Roman" w:hAnsi="Times New Roman"/>
                <w:sz w:val="20"/>
              </w:rPr>
              <w:t xml:space="preserve">If you are aware of material non-public information about the Company or its securities, you may not, directly or indirectly, buy or sell Company Securities, except as otherwise specified in this policy under the headings “Transactions Under Company Plans” and “Rule 10b5-1 Plans.” This includes, but is not limited to, material non-public information about a company with which the Company does business, including, but not limited to, a customer, supplier or other business partner of the Company, or that is involved in a potential transaction or business relationship with the Company. Moreover, if you, in the course of working for the Company, learn of information that is expected to affect a company’s stock price, then you may not trade in, take advantage of, or share such information about that other company’s securities until the information becomes public or is no longer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 Tipping. </w:t>
            </w:r>
            <w:r>
              <w:rPr>
                <w:rFonts w:ascii="Times New Roman" w:hAnsi="Times New Roman"/>
                <w:sz w:val="20"/>
              </w:rPr>
              <w:t xml:space="preserve">If you are aware of material non-public information about the Company, you may not communicate or pass (“tip”) that information on to persons within the Company whose jobs do not require them to have that information, or to persons outside the Company, including Family Members and friends. The federal securities laws impose liability on any person who “tips” or communicates material non-public information (the “tipper”) to another person or entity (the “tippee”), who then trades based on the information. Penalties may apply regardless of whether the tipper derives any benefits from the tippee’s trading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Blackout Period.</w:t>
            </w:r>
            <w:r>
              <w:rPr>
                <w:rFonts w:ascii="Times New Roman" w:hAnsi="Times New Roman"/>
                <w:sz w:val="20"/>
              </w:rPr>
              <w:t xml:space="preserve"> Designated Persons are restricted from trading in Company Securities during a Blackout Period (as defined below). Other persons should also consider refraining from trading in Company Securities during a Blackout Period to avoid even the appearance of impropriety, even if you are not expressly prohibited under Section III.B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Pre-Clearance.</w:t>
            </w:r>
            <w:r>
              <w:rPr>
                <w:rFonts w:ascii="Times New Roman" w:hAnsi="Times New Roman"/>
                <w:sz w:val="20"/>
              </w:rPr>
              <w:t xml:space="preserve"> Designated Persons must obtain approval from the Chief Legal Officer before transacting in Company securities in accordance with Section III.C below.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 What is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provides considerations for determining whether information is material. Ultimately, the Chief Legal Officer is responsible for determining which information should be treated as material, non-public information. </w:t>
      </w:r>
    </w:p>
    <w:p>
      <w:pPr>
        <w:pStyle w:val="TextBody"/>
        <w:bidi w:val="0"/>
        <w:spacing w:before="360" w:after="0"/>
        <w:jc w:val="left"/>
        <w:rPr>
          <w:rFonts w:ascii="Times New Roman" w:hAnsi="Times New Roman"/>
          <w:sz w:val="20"/>
        </w:rPr>
      </w:pPr>
      <w:r>
        <w:rPr>
          <w:rFonts w:ascii="Times New Roman" w:hAnsi="Times New Roman"/>
          <w:sz w:val="20"/>
        </w:rPr>
        <w:t xml:space="preserve">(1) Identifying Material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You should consider as material information any information that a reasonable investor would consider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you should carefully consider how a transaction may be construed by enforcement authorities who will have the benefit of hindsight.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it is not possible to define all categories of material information, some examples of information that ordinarily would be regarded as material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proposed acquisition, sale, joint venture, merger or tender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Large contracts, renewals and terminations;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future earnings, profits or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earnings guidance or projections,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expansion or cutback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to vendor or supplier pricing;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Extraordinary management or business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executive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Major lawsuits or legal settlements;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cybersecurity incidents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Extraordinary customer quality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or results of regulatory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or loss of a major customer or supplier;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restructuring;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 activities, including contemplated financings and refinancings (other than in the ordinary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dividend policy, the declaration of a stock split, or an offering of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actual purchases, or the anticipated timing of purchases of a repurchase program for Company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pricing or cost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Major marketing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auditors or notification that the auditor’s reports may no longer be relied upon;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developments including regulatory approval of a new product, process, or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weakness in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a ban on trading in Company Securities or the securities of another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Impending bankruptcy or the existence of severe liquidity problems.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(2) When Is Information Considered “Public”? </w:t>
      </w:r>
    </w:p>
    <w:p>
      <w:pPr>
        <w:pStyle w:val="TextBody"/>
        <w:bidi w:val="0"/>
        <w:spacing w:before="240" w:after="0"/>
        <w:jc w:val="left"/>
        <w:rPr>
          <w:rFonts w:ascii="Times New Roman" w:hAnsi="Times New Roman"/>
          <w:sz w:val="20"/>
        </w:rPr>
      </w:pPr>
      <w:r>
        <w:rPr>
          <w:rFonts w:ascii="Times New Roman" w:hAnsi="Times New Roman"/>
          <w:sz w:val="20"/>
        </w:rPr>
        <w:t xml:space="preserve">Information that has not been disclosed to the public is generally considered to be non-public information. In order to establish that the information has been disclosed to the public, it may be necessary to demonstrate that the information has been widely disseminated. Information disclosed by the following methods are generally considered to be widely disseminated: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Form 8-K or other document filed with, or submitted to, the U.S. Securities and Exchange Commission (“SEC”) when available on the SEC’s website;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press release disseminated through newswire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conference call (or webcast of such call) that is open to the public at large, and has been the subject of adequate advance notice within the meaning of Regulation FD, under the Securities Exchange Act of 1934.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contrast, information would likely not be considered widely disseminated if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provided to the Company’s employees, or if it is only available to a select group of persons;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communicated through the Company’s website or through social media (e.g., X or Facebook).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Once information is widely disseminated, it is still necessary to afford the investing public with sufficient time to absorb the information. As a general rule, information should not be considered fully absorbed by the marketplace until after one full trading day has elapsed since the day on which the information is released. If, for example, the Company were to make an announcement on a Monday during trading hours, you should not trade in Company securities until open market on Wednesday. Depending on the particular circumstances, the Company may determine that a longer or shorter period should apply to the release of specific material non-public information. </w:t>
      </w:r>
    </w:p>
    <w:p>
      <w:pPr>
        <w:pStyle w:val="TextBody"/>
        <w:bidi w:val="0"/>
        <w:spacing w:before="360" w:after="0"/>
        <w:jc w:val="left"/>
        <w:rPr>
          <w:rFonts w:ascii="Times New Roman" w:hAnsi="Times New Roman"/>
          <w:sz w:val="20"/>
        </w:rPr>
      </w:pPr>
      <w:r>
        <w:rPr>
          <w:rFonts w:ascii="Times New Roman" w:hAnsi="Times New Roman"/>
          <w:sz w:val="20"/>
        </w:rPr>
        <w:t xml:space="preserve">(3) Confidentiality of Material, Non-Public Information </w:t>
      </w:r>
    </w:p>
    <w:p>
      <w:pPr>
        <w:pStyle w:val="TextBody"/>
        <w:bidi w:val="0"/>
        <w:spacing w:before="120" w:after="0"/>
        <w:jc w:val="left"/>
        <w:rPr>
          <w:rFonts w:ascii="Times New Roman" w:hAnsi="Times New Roman"/>
          <w:sz w:val="20"/>
        </w:rPr>
      </w:pPr>
      <w:r>
        <w:rPr>
          <w:rFonts w:ascii="Times New Roman" w:hAnsi="Times New Roman"/>
          <w:sz w:val="20"/>
        </w:rPr>
        <w:t xml:space="preserve">Company Personnel who have access to material, non-public information must take special precautions to keep it confidential, including by keeping it in a secure location, and may only disclose such information to other employees and external parties who need to know it in order to perform their jobs and who also have an obligation to maintain its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Company Personnel who work outside of the Company’s office, whether at home, on planes and trains, in shared office spaces or in public spaces, should take special care to ensure that any material, non-public information is kept in a secure location, and cannot be seen, heard, accessed or stolen by others, including Family Members or friends.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If you have any question as to whether information is material or is publicly available, please err on the side of caution and direct an inquiry to the Chief Legal Officer. </w:t>
      </w:r>
    </w:p>
    <w:p>
      <w:pPr>
        <w:pStyle w:val="TextBody"/>
        <w:bidi w:val="0"/>
        <w:spacing w:before="240" w:after="0"/>
        <w:jc w:val="left"/>
        <w:rPr>
          <w:rFonts w:ascii="Times New Roman" w:hAnsi="Times New Roman"/>
          <w:b/>
          <w:sz w:val="20"/>
        </w:rPr>
      </w:pPr>
      <w:r>
        <w:rPr>
          <w:rFonts w:ascii="Times New Roman" w:hAnsi="Times New Roman"/>
          <w:b/>
          <w:sz w:val="20"/>
        </w:rPr>
        <w:t xml:space="preserve">III. CERTAIN ADDITIONAL RESTRICTIONS </w:t>
      </w:r>
    </w:p>
    <w:p>
      <w:pPr>
        <w:pStyle w:val="TextBody"/>
        <w:bidi w:val="0"/>
        <w:spacing w:before="120" w:after="0"/>
        <w:jc w:val="left"/>
        <w:rPr>
          <w:rFonts w:ascii="Times New Roman" w:hAnsi="Times New Roman"/>
          <w:b/>
          <w:sz w:val="20"/>
        </w:rPr>
      </w:pPr>
      <w:r>
        <w:rPr>
          <w:rFonts w:ascii="Times New Roman" w:hAnsi="Times New Roman"/>
          <w:b/>
          <w:sz w:val="20"/>
        </w:rPr>
        <w:t xml:space="preserve">A. Designated Persons </w:t>
      </w:r>
    </w:p>
    <w:p>
      <w:pPr>
        <w:pStyle w:val="TextBody"/>
        <w:bidi w:val="0"/>
        <w:spacing w:before="120" w:after="0"/>
        <w:jc w:val="left"/>
        <w:rPr>
          <w:rFonts w:ascii="Times New Roman" w:hAnsi="Times New Roman"/>
          <w:sz w:val="20"/>
        </w:rPr>
      </w:pPr>
      <w:r>
        <w:rPr>
          <w:rFonts w:ascii="Times New Roman" w:hAnsi="Times New Roman"/>
          <w:sz w:val="20"/>
        </w:rPr>
        <w:t xml:space="preserve">All Designated Persons are subject to the Blackout Periods and Pre-Clearance restrictions described in this Section III. Designated Persons may not give trading advice of any kind about the Company, whether or not such Designated Person is aware of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b/>
          <w:sz w:val="20"/>
        </w:rPr>
      </w:pPr>
      <w:r>
        <w:rPr>
          <w:rFonts w:ascii="Times New Roman" w:hAnsi="Times New Roman"/>
          <w:b/>
          <w:sz w:val="20"/>
        </w:rPr>
        <w:t xml:space="preserve">B. Blackout Periods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III.F, G and I below, Designated Persons may not conduct transactions (for their own or related accounts) involving Company Securities during the following periods (the “Blackout Periods”):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in any of the first, second, third or fourth fiscal quarters commencing at the close of trading on the fifteenth day of the third calendar month (i.e., March 15, June 15, September 15, December 15) and ending after the first full trading day after the date of public disclosure of the financial results for such fiscal quarter or year. If public disclosure occurs during trading hours, then such date of disclosure shall not be considered the first full trading day with respect to such public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period designated in writing by the Chief Legal Officer.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implementation of an additional Blackout Period could itself be, or otherwise imply the existence of, material non-public information. Accordingly, if you are made aware of the existence of an event-specific Blackout Period, that, itself, may be material non-public information, and you should not disclose the existence of such Blackout Period to any 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C. Pre-Clearance </w:t>
      </w:r>
    </w:p>
    <w:p>
      <w:pPr>
        <w:pStyle w:val="TextBody"/>
        <w:bidi w:val="0"/>
        <w:spacing w:before="120" w:after="0"/>
        <w:jc w:val="left"/>
        <w:rPr>
          <w:rFonts w:ascii="Times New Roman" w:hAnsi="Times New Roman"/>
          <w:sz w:val="20"/>
        </w:rPr>
      </w:pPr>
      <w:r>
        <w:rPr>
          <w:rFonts w:ascii="Times New Roman" w:hAnsi="Times New Roman"/>
          <w:sz w:val="20"/>
        </w:rPr>
        <w:t xml:space="preserve">All Designated Persons must clear all transactions involving Company Securities with the Chief Legal Officer (or their designee) before the transaction may occur. The Chief Legal Officer may designate and provide notice to other key employees who may, from time to time, be subject to the pre-clearance procedures under this Policy.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When a request for pre-clearance is made, the requestor should carefully consider whether he or she may be aware of any material non-public information about the Company. </w:t>
      </w:r>
    </w:p>
    <w:p>
      <w:pPr>
        <w:pStyle w:val="TextBody"/>
        <w:bidi w:val="0"/>
        <w:spacing w:before="240" w:after="0"/>
        <w:jc w:val="left"/>
        <w:rPr>
          <w:rFonts w:ascii="Times New Roman" w:hAnsi="Times New Roman"/>
          <w:sz w:val="20"/>
        </w:rPr>
      </w:pPr>
      <w:r>
        <w:rPr>
          <w:rFonts w:ascii="Times New Roman" w:hAnsi="Times New Roman"/>
          <w:sz w:val="20"/>
        </w:rPr>
        <w:t xml:space="preserve">Designated Persons seeking to pre-clear a transaction involving Company Securities must notify the Chief Legal Officer and his or her designee in writing of the desire to conduct a transaction at least one business day before the date of the proposed transaction. Designated Persons should be prepared to provide the dates on which the proposed transactions are expected to occur and to identify the broker-dealer or any other investment professional responsible for executing the trade. The Chief Legal Officer will inform the requesting individual of a decision with respect to the request as soon as possible after considering all the circumstances relevant to their determination. The Chief Legal Officer is under no obligation to approve a transaction submitted for pre-clearance, and may determine not to permit the transaction. If the Chief Legal Officer has not responded to a request for pre-clearance, do not trade in the Company’s Securities. If approved, the transaction must occur within one business day after the day of the receipt of approval (so long as the transaction is not during a Blackout Period). If permission is denied, refrain from initiating any transaction in Company Securities, and do not inform any other person of the restriction. Pre-clearance requests will not be granted during a Blackout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Designated Persons must also pre-clear gifts to charities or other persons and other transfers of Company Securities, including to estate planning or other investment vehicles, with the Chief Legal Officer before the gift or other transfer is made.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Even if approval to trade pursuant to the pre-clearance process is obtained in writing, or pre-clearance is not required for a particular transaction, you may </w:t>
      </w:r>
      <w:r>
        <w:rPr>
          <w:rFonts w:ascii="Times New Roman" w:hAnsi="Times New Roman"/>
          <w:b/>
          <w:sz w:val="20"/>
          <w:u w:val="single"/>
          <w:bdr w:val="single" w:sz="2" w:space="2" w:color="000000"/>
        </w:rPr>
        <w:t>not</w:t>
      </w:r>
      <w:r>
        <w:rPr>
          <w:rFonts w:ascii="Times New Roman" w:hAnsi="Times New Roman"/>
          <w:b/>
          <w:sz w:val="20"/>
          <w:bdr w:val="single" w:sz="2" w:space="2" w:color="000000"/>
        </w:rPr>
        <w:t xml:space="preserve"> trade in the Company Securities if you are aware of material non-public information about the Company or any of the companies covered by this Policy. This Policy does not require pre-clearance of transactions in any other company’s securities unless otherwise indicated in writing by the Chief Legal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D. Prohibited and Special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other restrictions and prohibitions contained in this Policy, Designated Persons may not: </w:t>
      </w:r>
    </w:p>
    <w:p>
      <w:pPr>
        <w:pStyle w:val="TextBody"/>
        <w:bidi w:val="0"/>
        <w:spacing w:before="120" w:after="0"/>
        <w:jc w:val="left"/>
        <w:rPr>
          <w:rFonts w:ascii="Times New Roman" w:hAnsi="Times New Roman"/>
          <w:sz w:val="20"/>
        </w:rPr>
      </w:pPr>
      <w:r>
        <w:rPr>
          <w:rFonts w:ascii="Times New Roman" w:hAnsi="Times New Roman"/>
          <w:b/>
          <w:sz w:val="20"/>
        </w:rPr>
        <w:t>Short-Term Trading</w:t>
      </w:r>
      <w:r>
        <w:rPr>
          <w:rFonts w:ascii="Times New Roman" w:hAnsi="Times New Roman"/>
          <w:sz w:val="20"/>
        </w:rPr>
        <w:t xml:space="preserve">: Sell any Company Securities of the same class during the six months following the purchase of any Company Securities of that class (or vice versa). Shares purchased through the Company’s equity plans and transactions with the Company are not subject to this restriction. </w:t>
      </w:r>
    </w:p>
    <w:p>
      <w:pPr>
        <w:pStyle w:val="TextBody"/>
        <w:bidi w:val="0"/>
        <w:spacing w:before="120" w:after="0"/>
        <w:jc w:val="left"/>
        <w:rPr>
          <w:rFonts w:ascii="Times New Roman" w:hAnsi="Times New Roman"/>
          <w:sz w:val="20"/>
        </w:rPr>
      </w:pPr>
      <w:r>
        <w:rPr>
          <w:rFonts w:ascii="Times New Roman" w:hAnsi="Times New Roman"/>
          <w:b/>
          <w:sz w:val="20"/>
        </w:rPr>
        <w:t>Short Sales</w:t>
      </w:r>
      <w:r>
        <w:rPr>
          <w:rFonts w:ascii="Times New Roman" w:hAnsi="Times New Roman"/>
          <w:sz w:val="20"/>
        </w:rPr>
        <w:t xml:space="preserve">: Engage in short sales (selling securities that you do not own, with the intention of buying the securities at a lower price in the future) of Company Securities. In addition, Section 16(c) of the Exchange Act prohibits directors and officers from engaging in short sales. </w:t>
      </w:r>
    </w:p>
    <w:p>
      <w:pPr>
        <w:pStyle w:val="TextBody"/>
        <w:bidi w:val="0"/>
        <w:spacing w:before="120" w:after="0"/>
        <w:jc w:val="left"/>
        <w:rPr>
          <w:rFonts w:ascii="Times New Roman" w:hAnsi="Times New Roman"/>
          <w:sz w:val="20"/>
        </w:rPr>
      </w:pPr>
      <w:r>
        <w:rPr>
          <w:rFonts w:ascii="Times New Roman" w:hAnsi="Times New Roman"/>
          <w:b/>
          <w:sz w:val="20"/>
        </w:rPr>
        <w:t>Publicly Traded Options</w:t>
      </w:r>
      <w:r>
        <w:rPr>
          <w:rFonts w:ascii="Times New Roman" w:hAnsi="Times New Roman"/>
          <w:sz w:val="20"/>
        </w:rPr>
        <w:t xml:space="preserve">: Engage in puts, calls, or other derivative securities, on an exchange or in any other organized market. </w:t>
      </w:r>
    </w:p>
    <w:p>
      <w:pPr>
        <w:pStyle w:val="TextBody"/>
        <w:bidi w:val="0"/>
        <w:spacing w:before="120" w:after="0"/>
        <w:jc w:val="left"/>
        <w:rPr>
          <w:rFonts w:ascii="Times New Roman" w:hAnsi="Times New Roman"/>
          <w:sz w:val="20"/>
        </w:rPr>
      </w:pPr>
      <w:r>
        <w:rPr>
          <w:rFonts w:ascii="Times New Roman" w:hAnsi="Times New Roman"/>
          <w:b/>
          <w:sz w:val="20"/>
        </w:rPr>
        <w:t>Pledging</w:t>
      </w:r>
      <w:r>
        <w:rPr>
          <w:rFonts w:ascii="Times New Roman" w:hAnsi="Times New Roman"/>
          <w:sz w:val="20"/>
        </w:rPr>
        <w:t xml:space="preserve">: Pledge, hypothecate, or otherwise encumber shares of Company Securities as collateral for indebtedness. This includes but is not limited to holding such shares in a margin account or any other account that could cause Company Securities to be subject to a margin call or otherwise be available as collateral for a margin loan. </w:t>
      </w:r>
    </w:p>
    <w:p>
      <w:pPr>
        <w:pStyle w:val="TextBody"/>
        <w:bidi w:val="0"/>
        <w:spacing w:before="120" w:after="0"/>
        <w:jc w:val="left"/>
        <w:rPr>
          <w:rFonts w:ascii="Times New Roman" w:hAnsi="Times New Roman"/>
          <w:sz w:val="20"/>
        </w:rPr>
      </w:pPr>
      <w:r>
        <w:rPr>
          <w:rFonts w:ascii="Times New Roman" w:hAnsi="Times New Roman"/>
          <w:b/>
          <w:sz w:val="20"/>
        </w:rPr>
        <w:t>Hedging</w:t>
      </w:r>
      <w:r>
        <w:rPr>
          <w:rFonts w:ascii="Times New Roman" w:hAnsi="Times New Roman"/>
          <w:sz w:val="20"/>
        </w:rPr>
        <w:t xml:space="preserve">: Purchase a financial instrument or enter into any transaction that is designed to hedge, establish downside price protection or otherwise offset declines in the market value of Company Securities, including puts, calls, prepaid variable forward contracts, equity swaps, collars, certain exchange funds if the terms of such fund indicate that the fund could be used to hedge Company Securities (excluding broad-based index funds) and other financial instruments that are designed to or have the effect of hedging or offsetting any decrease in the market value of Company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Standing and Limit Orders</w:t>
      </w:r>
      <w:r>
        <w:rPr>
          <w:rFonts w:ascii="Times New Roman" w:hAnsi="Times New Roman"/>
          <w:sz w:val="20"/>
        </w:rPr>
        <w:t xml:space="preserve">: Place standing or limit orders on Company Securities outside of a properly established Rule 10b5-1 Plan (as defined in Section III.G below). </w:t>
      </w:r>
    </w:p>
    <w:p>
      <w:pPr>
        <w:pStyle w:val="TextBody"/>
        <w:bidi w:val="0"/>
        <w:spacing w:before="360" w:after="0"/>
        <w:jc w:val="left"/>
        <w:rPr>
          <w:rFonts w:ascii="Times New Roman" w:hAnsi="Times New Roman"/>
          <w:b/>
          <w:sz w:val="20"/>
        </w:rPr>
      </w:pPr>
      <w:r>
        <w:rPr>
          <w:rFonts w:ascii="Times New Roman" w:hAnsi="Times New Roman"/>
          <w:b/>
          <w:sz w:val="20"/>
        </w:rPr>
        <w:t xml:space="preserve">E. Transactions Under Company Plans </w:t>
      </w:r>
    </w:p>
    <w:p>
      <w:pPr>
        <w:pStyle w:val="TextBody"/>
        <w:bidi w:val="0"/>
        <w:spacing w:before="120" w:after="0"/>
        <w:jc w:val="left"/>
        <w:rPr>
          <w:rFonts w:ascii="Times New Roman" w:hAnsi="Times New Roman"/>
          <w:sz w:val="20"/>
        </w:rPr>
      </w:pPr>
      <w:r>
        <w:rPr>
          <w:rFonts w:ascii="Times New Roman" w:hAnsi="Times New Roman"/>
          <w:sz w:val="20"/>
        </w:rPr>
        <w:t xml:space="preserve">This Policy does not apply to the following, except as specifically noted: </w:t>
      </w:r>
    </w:p>
    <w:p>
      <w:pPr>
        <w:pStyle w:val="TextBody"/>
        <w:bidi w:val="0"/>
        <w:spacing w:before="120" w:after="0"/>
        <w:jc w:val="left"/>
        <w:rPr>
          <w:rFonts w:ascii="Times New Roman" w:hAnsi="Times New Roman"/>
          <w:sz w:val="20"/>
        </w:rPr>
      </w:pPr>
      <w:r>
        <w:rPr>
          <w:rFonts w:ascii="Times New Roman" w:hAnsi="Times New Roman"/>
          <w:b/>
          <w:sz w:val="20"/>
        </w:rPr>
        <w:t>Stock Option Exercises</w:t>
      </w:r>
      <w:r>
        <w:rPr>
          <w:rFonts w:ascii="Times New Roman" w:hAnsi="Times New Roman"/>
          <w:sz w:val="20"/>
        </w:rPr>
        <w:t xml:space="preserve">: Exercise of an employee stock option acquired pursuant to the Company’s plans, or to the exercise of a withholding right pursuant to which a person has elected to have the Company withhold shares subject to an option to satisfy tax withholding requirements or to satisfy the exercise price. This Policy does apply, however, to any sale of stock as part of a broker-assisted cashless exercise of an option, or any other market sale for the purpose of generating the cash needed to pay the exercise price of an option. </w:t>
      </w:r>
    </w:p>
    <w:p>
      <w:pPr>
        <w:pStyle w:val="TextBody"/>
        <w:bidi w:val="0"/>
        <w:spacing w:before="120" w:after="0"/>
        <w:jc w:val="left"/>
        <w:rPr>
          <w:rFonts w:ascii="Times New Roman" w:hAnsi="Times New Roman"/>
          <w:sz w:val="20"/>
        </w:rPr>
      </w:pPr>
      <w:r>
        <w:rPr>
          <w:rFonts w:ascii="Times New Roman" w:hAnsi="Times New Roman"/>
          <w:b/>
          <w:sz w:val="20"/>
        </w:rPr>
        <w:t>Restricted Stock and Restricted Stock Unit Awards</w:t>
      </w:r>
      <w:r>
        <w:rPr>
          <w:rFonts w:ascii="Times New Roman" w:hAnsi="Times New Roman"/>
          <w:sz w:val="20"/>
        </w:rPr>
        <w:t xml:space="preserve">: Vesting of restricted stock and restricted stock units, or the exercise of a tax withholding right pursuant to which a person elected to have the Company withhold shares of stock to satisfy tax withholding requirements upon the vesting of any such restricted stock and/or restricted stock units. The Policy does apply, however, to any market sale of stock. </w:t>
      </w:r>
    </w:p>
    <w:p>
      <w:pPr>
        <w:pStyle w:val="TextBody"/>
        <w:bidi w:val="0"/>
        <w:spacing w:before="120" w:after="0"/>
        <w:jc w:val="left"/>
        <w:rPr>
          <w:rFonts w:ascii="Times New Roman" w:hAnsi="Times New Roman"/>
          <w:sz w:val="20"/>
        </w:rPr>
      </w:pPr>
      <w:r>
        <w:rPr>
          <w:rFonts w:ascii="Times New Roman" w:hAnsi="Times New Roman"/>
          <w:b/>
          <w:sz w:val="20"/>
        </w:rPr>
        <w:t>401(k) Plan</w:t>
      </w:r>
      <w:r>
        <w:rPr>
          <w:rFonts w:ascii="Times New Roman" w:hAnsi="Times New Roman"/>
          <w:sz w:val="20"/>
        </w:rPr>
        <w:t xml:space="preserve">: Purchases of Company Securities in the Company’s 401(k) plan resulting from periodic contribution of money to the plan pursuant to standard payroll deduction elections. This Policy does apply, however, to certain elections you may make under the 401(k) plan, including: (a) an election to increase or decrease the percentage of your periodic contributions that will be allocated to the Company Securities fund; (b) an election to make an intra-plan transfer of an existing account balance into or out of the Company Securities fund; (c) an election to borrow money against your 401(k) plan account if the loan will result in a liquidation of some or all of your Company Securities fund balance; and (d) an election to pre-pay a plan loan if the pre-payment will result in allocation of loan proceeds to the Company stock fund. It should be noted that sales of Company Securities from a 401(k) account are also subject to Rule 144, and therefore affiliates should ensure that a Form 144 is filed when required. </w:t>
      </w:r>
    </w:p>
    <w:p>
      <w:pPr>
        <w:pStyle w:val="TextBody"/>
        <w:bidi w:val="0"/>
        <w:spacing w:before="120" w:after="0"/>
        <w:jc w:val="left"/>
        <w:rPr>
          <w:rFonts w:ascii="Times New Roman" w:hAnsi="Times New Roman"/>
          <w:sz w:val="20"/>
        </w:rPr>
      </w:pPr>
      <w:r>
        <w:rPr>
          <w:rFonts w:ascii="Times New Roman" w:hAnsi="Times New Roman"/>
          <w:b/>
          <w:sz w:val="20"/>
        </w:rPr>
        <w:t>Employee Stock Purchase Plan</w:t>
      </w:r>
      <w:r>
        <w:rPr>
          <w:rFonts w:ascii="Times New Roman" w:hAnsi="Times New Roman"/>
          <w:sz w:val="20"/>
        </w:rPr>
        <w:t xml:space="preserve">: Purchases of Company Securities in any employee stock purchase plan resulting from periodic contribution of money to the plan pursuant to the election made at the time of enrollment in the plan. This Policy also does not apply to purchases of Company Securities resulting from lump sum contributions to the plan, provided that elections to participate by lump sum payment were made at the beginning of the applicable enrollment period. This Policy does apply, however, to sales of Company Securities purchased pursuant to the plan and elections to (i) participate in the plan for any enrollment period, (ii) withdraw early from the plan, and (iii) increase or decrease your contributions during an offering period. </w:t>
      </w:r>
    </w:p>
    <w:p>
      <w:pPr>
        <w:pStyle w:val="TextBody"/>
        <w:bidi w:val="0"/>
        <w:spacing w:before="120" w:after="0"/>
        <w:jc w:val="left"/>
        <w:rPr>
          <w:rFonts w:ascii="Times New Roman" w:hAnsi="Times New Roman"/>
          <w:sz w:val="20"/>
        </w:rPr>
      </w:pPr>
      <w:r>
        <w:rPr>
          <w:rFonts w:ascii="Times New Roman" w:hAnsi="Times New Roman"/>
          <w:b/>
          <w:sz w:val="20"/>
        </w:rPr>
        <w:t>Dividend Reinvestment Plan</w:t>
      </w:r>
      <w:r>
        <w:rPr>
          <w:rFonts w:ascii="Times New Roman" w:hAnsi="Times New Roman"/>
          <w:sz w:val="20"/>
        </w:rPr>
        <w:t xml:space="preserve">: Purchases of Company Securities under the Company’s dividend reinvestment plan resulting from 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Other Similar Transactions:</w:t>
      </w:r>
      <w:r>
        <w:rPr>
          <w:rFonts w:ascii="Times New Roman" w:hAnsi="Times New Roman"/>
          <w:sz w:val="20"/>
        </w:rPr>
        <w:t xml:space="preserve"> Any other similar purchase of Company Securities from the Company or sales of Company Securities to the Company are not subject to this Policy. </w:t>
      </w:r>
    </w:p>
    <w:p>
      <w:pPr>
        <w:pStyle w:val="TextBody"/>
        <w:bidi w:val="0"/>
        <w:spacing w:before="360" w:after="0"/>
        <w:jc w:val="left"/>
        <w:rPr>
          <w:rFonts w:ascii="Times New Roman" w:hAnsi="Times New Roman"/>
          <w:b/>
          <w:sz w:val="20"/>
        </w:rPr>
      </w:pPr>
      <w:r>
        <w:rPr>
          <w:rFonts w:ascii="Times New Roman" w:hAnsi="Times New Roman"/>
          <w:b/>
          <w:sz w:val="20"/>
        </w:rPr>
        <w:t xml:space="preserve">F. Gifts or Transfers </w:t>
      </w:r>
    </w:p>
    <w:p>
      <w:pPr>
        <w:pStyle w:val="TextBody"/>
        <w:bidi w:val="0"/>
        <w:spacing w:before="120" w:after="0"/>
        <w:jc w:val="left"/>
        <w:rPr>
          <w:rFonts w:ascii="Times New Roman" w:hAnsi="Times New Roman"/>
          <w:sz w:val="20"/>
        </w:rPr>
      </w:pPr>
      <w:r>
        <w:rPr>
          <w:rFonts w:ascii="Times New Roman" w:hAnsi="Times New Roman"/>
          <w:i/>
          <w:sz w:val="20"/>
        </w:rPr>
        <w:t>Bona fide</w:t>
      </w:r>
      <w:r>
        <w:rPr>
          <w:rFonts w:ascii="Times New Roman" w:hAnsi="Times New Roman"/>
          <w:sz w:val="20"/>
        </w:rPr>
        <w:t xml:space="preserve"> gifts of Company Securities to charities or other persons, as well as transfers to or from Family Members and Controlled Entities, by a Designated Person, including during a Blackout Period, may be permitted if pre-clearance is obtained from the Chief Legal Officer in accordance with the pre-clearance procedures under Section III.C. </w:t>
      </w:r>
    </w:p>
    <w:p>
      <w:pPr>
        <w:pStyle w:val="TextBody"/>
        <w:bidi w:val="0"/>
        <w:spacing w:before="360" w:after="0"/>
        <w:jc w:val="left"/>
        <w:rPr>
          <w:rFonts w:ascii="Times New Roman" w:hAnsi="Times New Roman"/>
          <w:b/>
          <w:sz w:val="20"/>
        </w:rPr>
      </w:pPr>
      <w:r>
        <w:rPr>
          <w:rFonts w:ascii="Times New Roman" w:hAnsi="Times New Roman"/>
          <w:b/>
          <w:sz w:val="20"/>
        </w:rPr>
        <w:t xml:space="preserve">G. Rule 10b5-1 Plans </w:t>
      </w:r>
    </w:p>
    <w:p>
      <w:pPr>
        <w:pStyle w:val="TextBody"/>
        <w:bidi w:val="0"/>
        <w:spacing w:before="120" w:after="0"/>
        <w:jc w:val="left"/>
        <w:rPr>
          <w:rFonts w:ascii="Times New Roman" w:hAnsi="Times New Roman"/>
          <w:sz w:val="20"/>
        </w:rPr>
      </w:pPr>
      <w:r>
        <w:rPr>
          <w:rFonts w:ascii="Times New Roman" w:hAnsi="Times New Roman"/>
          <w:sz w:val="20"/>
        </w:rPr>
        <w:t xml:space="preserve">Rule 10b5-1 under the Exchange Act provides an affirmative defense, under certain conditions, against allegations that an insider traded in the Company’s securities while aware of material non-public information. In order to be eligible to rely on this defense, a person subject to this Policy must enter into a trading plan for transactions in Company Securities that meets certain conditions specified in Rule 10b5-1 (a “Rule 10b5-1 Plan”). If the plan meets the requirements of Rule 10b5-1, Company Securities may be purchased or sold without regard to certain insider trading restrictions, including blackout and pre-clearance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general, a Rule 10b5-1 Plan must be entered into at a time when the person entering into the plan is not aware of material non-public information and not during a blackout period.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The Rule 10b5-1 Trading Plan must include a cooling-off period consistent with applicable SEC rules before trading can commence. Rule 10b5-1 Plans must be approved by the Chief Legal Officer in advance and requests for approval must be submitted at least two weeks in advance of entry into the Rule 10b5-1 Plan. </w:t>
      </w:r>
    </w:p>
    <w:p>
      <w:pPr>
        <w:pStyle w:val="TextBody"/>
        <w:bidi w:val="0"/>
        <w:spacing w:before="360" w:after="0"/>
        <w:jc w:val="left"/>
        <w:rPr>
          <w:rFonts w:ascii="Times New Roman" w:hAnsi="Times New Roman"/>
          <w:b/>
          <w:sz w:val="20"/>
        </w:rPr>
      </w:pPr>
      <w:r>
        <w:rPr>
          <w:rFonts w:ascii="Times New Roman" w:hAnsi="Times New Roman"/>
          <w:b/>
          <w:sz w:val="20"/>
        </w:rPr>
        <w:t xml:space="preserve">H. Post-Termination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Policy continues to apply to transactions in Company Securities even after your service with the Company has ended (other than the pre-clearance and trading prohibitions during a Blackout Period, which will cease to apply upon the expiration of any Blackout Period pending at the time of the termination of service). If you are aware of material non-public information when your employment terminates, you may not engage in transactions in Company Securities until that information has become public or is no longer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I. Private Transactions Between Persons Subject to this Policy or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A private transaction (i.e., transaction not on a stock exchange or otherwise facilitated by brokers and/ or similar intermediaries) between a transferor and transferee who are both subject to this Policy is exempt from Blackout Periods, provided that pre-clearance for such transaction is obtained from the Chief Legal Officer in accordance with the pre-clearance procedures under Section III.C . A private transaction between you and the Company that has been specifically authorized by the Company in writing is exempt from Blackout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IV. CONSEQUENCES OF VIOLATION </w:t>
      </w:r>
    </w:p>
    <w:p>
      <w:pPr>
        <w:pStyle w:val="TextBody"/>
        <w:bidi w:val="0"/>
        <w:spacing w:before="120" w:after="0"/>
        <w:jc w:val="left"/>
        <w:rPr>
          <w:rFonts w:ascii="Times New Roman" w:hAnsi="Times New Roman"/>
          <w:sz w:val="20"/>
        </w:rPr>
      </w:pPr>
      <w:r>
        <w:rPr>
          <w:rFonts w:ascii="Times New Roman" w:hAnsi="Times New Roman"/>
          <w:sz w:val="20"/>
        </w:rPr>
        <w:t xml:space="preserve">Insider trading is a serious crime. There are no thresholds or limits on the size of a transaction that will trigger insider trading liability. Insider trading violations are pursued vigorously by the SEC and can be detected using advanced technologies. In the past, relatively small trades have resulted in investigations by the SEC or the Department of Justice and lawsuits. </w:t>
      </w:r>
    </w:p>
    <w:p>
      <w:pPr>
        <w:pStyle w:val="TextBody"/>
        <w:bidi w:val="0"/>
        <w:spacing w:before="240" w:after="0"/>
        <w:jc w:val="left"/>
        <w:rPr>
          <w:rFonts w:ascii="Times New Roman" w:hAnsi="Times New Roman"/>
          <w:sz w:val="20"/>
        </w:rPr>
      </w:pPr>
      <w:r>
        <w:rPr>
          <w:rFonts w:ascii="Times New Roman" w:hAnsi="Times New Roman"/>
          <w:sz w:val="20"/>
        </w:rPr>
        <w:t xml:space="preserve">Individuals found liable for insider trading (and tipping) face penalties of up to three (3) times the profit gained or loss avoided, a criminal fine of up to $5 million and up to twenty (20) years in jail. In addition to the potential criminal and civil liabilities, in certain circumstances the Company may be able to recover all profits made by an insider who traded illegally plus collect other damages. Furthermore, the Company (and its executive officers and directors) could face penalties the greater of $1 million or three (3) times the profit gained or loss avoided as a result of an employee’s violation and/or criminal penalty of up to $25 million. </w:t>
      </w:r>
    </w:p>
    <w:p>
      <w:pPr>
        <w:pStyle w:val="TextBody"/>
        <w:bidi w:val="0"/>
        <w:spacing w:before="240" w:after="0"/>
        <w:jc w:val="left"/>
        <w:rPr>
          <w:rFonts w:ascii="Times New Roman" w:hAnsi="Times New Roman"/>
          <w:sz w:val="20"/>
        </w:rPr>
      </w:pPr>
      <w:r>
        <w:rPr>
          <w:rFonts w:ascii="Times New Roman" w:hAnsi="Times New Roman"/>
          <w:sz w:val="20"/>
        </w:rPr>
        <w:t xml:space="preserve">Without regard to civil or criminal penalties that may be imposed by others, willful violation of this Policy and its procedures may constitute grounds for dismissal from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V. REGULATION FD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 Regulation Fair Disclosure (“Regulation FD”) Policy. In addition to the confidentiality obligations set forth above, Regulation FD prohibits the Company, or Company Personnel that could be viewed as acting on behalf of the Company, from making a selective disclosure of material non-public information regarding the Company or its securities to investors, analysts or other securities professionals. Regulation FD applies to communications with brokers or dealers and their associated persons, investment advisers, certain institutional investment managers and their associated persons, investment companies, hedge funds and affiliated persons and any shareholder under circumstances in which it is reasonably foreseeable that the person would transact in the Company’s Securities based on the information. Any disclosure by the Company of material non-public information must be made first or simultaneously to the public in a manner that is designed to achieve broad public dissemination and must be made in accordance with the Company’s policies and procedures for releasing material information. The Company has established procedures for releasing material information in a manner that is designed to achieve broad public dissemination of the information immediately upon its release as set forth in the Company’s Regulation FD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VI. PERIODIC REVIEW,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shall periodically review this Policy. Any material amendments to this Policy, as determined by the Chief Legal Officer, must be approved by the Board of Directors. Any waivers under this Policy may be approved by the Chief Legal Officer, and any such waivers shall be reported to the Board of Directors. Any non-material amendments may be made by the Chief Legal Officer and later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Adopted by the Board on February 10, 2026, effective upon the Company’s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50" w:name="d31834dex211.htm"/>
      <w:bookmarkStart w:id="51" w:name="ksd31834dex211"/>
      <w:bookmarkEnd w:id="50"/>
      <w:bookmarkEnd w:id="51"/>
      <w:r>
        <w:rPr>
          <w:rFonts w:ascii="Times New Roman" w:hAnsi="Times New Roman"/>
          <w:b/>
          <w:sz w:val="20"/>
        </w:rPr>
        <w:t xml:space="preserve">Exhibit 21.1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List of Subsidiaries of the Registrant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29"/>
        <w:gridCol w:w="120"/>
        <w:gridCol w:w="2056"/>
      </w:tblGrid>
      <w:tr>
        <w:trPr/>
        <w:tc>
          <w:tcPr>
            <w:tcW w:w="80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802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Subsidiary</w:t>
            </w:r>
          </w:p>
        </w:tc>
        <w:tc>
          <w:tcPr>
            <w:tcW w:w="120" w:type="dxa"/>
            <w:tcBorders/>
            <w:vAlign w:val="bottom"/>
          </w:tcPr>
          <w:p>
            <w:pPr>
              <w:pStyle w:val="TableContents"/>
              <w:bidi w:val="0"/>
              <w:spacing w:before="0" w:after="283"/>
              <w:jc w:val="left"/>
              <w:rPr/>
            </w:pPr>
            <w:r>
              <w:rPr/>
              <w:t>  </w:t>
            </w:r>
          </w:p>
        </w:tc>
        <w:tc>
          <w:tcPr>
            <w:tcW w:w="205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Jurisdiction of Incorporation</w:t>
            </w:r>
          </w:p>
          <w:p>
            <w:pPr>
              <w:pStyle w:val="TableContents"/>
              <w:bidi w:val="0"/>
              <w:spacing w:before="0" w:after="20"/>
              <w:jc w:val="center"/>
              <w:rPr>
                <w:rFonts w:ascii="Times New Roman" w:hAnsi="Times New Roman"/>
                <w:sz w:val="16"/>
              </w:rPr>
            </w:pPr>
            <w:r>
              <w:rPr>
                <w:rFonts w:ascii="Times New Roman" w:hAnsi="Times New Roman"/>
                <w:sz w:val="16"/>
              </w:rPr>
              <w:t>or Organization</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Energy Holdings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Energy Parent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Sub 2 Inc.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Sub 3 Inc.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Manager Sub Inc.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Energy Parent, Inc.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Energy Intermediate Holdings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Energy Acquisition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Energy,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SEHV Solutions,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Drilling Industrial Services,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California</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White Spruce Holdings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SOLV Energy Acquisition, Inc.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Spartan Infrastructure, Inc.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Nevada</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CS Energy DevCo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CS Energy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White Spruce Holdings Licenses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CS Electric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New York</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Franklin Energy,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Budbreak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Budbreak Storage,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Larcona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WSH Land Holdings,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Hathaway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Granada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Wild Rose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Webb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Godfrey Solar 1,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Godfrey Solar 2,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Grace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Maugridge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Abrams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CS Grass River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Stoner Trail Storage,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Hosmer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Blue Line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Mitchell Energy Facility,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Clean Peak,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Clean Peak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Somerville Pioneer Solar II,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Somerville Pioneer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r>
        <w:trPr/>
        <w:tc>
          <w:tcPr>
            <w:tcW w:w="8029" w:type="dxa"/>
            <w:tcBorders/>
          </w:tcPr>
          <w:p>
            <w:pPr>
              <w:pStyle w:val="TableContents"/>
              <w:bidi w:val="0"/>
              <w:spacing w:before="0" w:after="0"/>
              <w:jc w:val="left"/>
              <w:rPr>
                <w:rFonts w:ascii="Times New Roman" w:hAnsi="Times New Roman"/>
                <w:sz w:val="20"/>
              </w:rPr>
            </w:pPr>
            <w:r>
              <w:rPr>
                <w:rFonts w:ascii="Times New Roman" w:hAnsi="Times New Roman"/>
                <w:sz w:val="20"/>
              </w:rPr>
              <w:t>Mustang Solar, LLC</w:t>
            </w:r>
          </w:p>
        </w:tc>
        <w:tc>
          <w:tcPr>
            <w:tcW w:w="120" w:type="dxa"/>
            <w:tcBorders/>
            <w:vAlign w:val="bottom"/>
          </w:tcPr>
          <w:p>
            <w:pPr>
              <w:pStyle w:val="TableContents"/>
              <w:bidi w:val="0"/>
              <w:spacing w:before="0" w:after="283"/>
              <w:jc w:val="left"/>
              <w:rPr/>
            </w:pPr>
            <w:r>
              <w:rPr/>
              <w:t>  </w:t>
            </w:r>
          </w:p>
        </w:tc>
        <w:tc>
          <w:tcPr>
            <w:tcW w:w="2056" w:type="dxa"/>
            <w:tcBorders/>
            <w:vAlign w:val="bottom"/>
          </w:tcPr>
          <w:p>
            <w:pPr>
              <w:pStyle w:val="TableContents"/>
              <w:bidi w:val="0"/>
              <w:spacing w:before="0" w:after="283"/>
              <w:jc w:val="center"/>
              <w:rPr/>
            </w:pPr>
            <w:r>
              <w:rPr/>
              <w:t>Delaware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8195"/>
        <w:gridCol w:w="121"/>
        <w:gridCol w:w="1889"/>
      </w:tblGrid>
      <w:tr>
        <w:trPr/>
        <w:tc>
          <w:tcPr>
            <w:tcW w:w="8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Rocktown Solar,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Delaware</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Farro Solar,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Delaware</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Block Plant Solar,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Delaware</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Fairfield Jaguars Solar,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New Jersey</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Mojave Sand Solar,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New Jersey</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Sahara Sand Solar,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Delaware</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WP Wolverines Solar 1,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Delaware</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WP Wolverines Solar 2,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Delaware</w:t>
            </w:r>
          </w:p>
        </w:tc>
      </w:tr>
      <w:tr>
        <w:trPr/>
        <w:tc>
          <w:tcPr>
            <w:tcW w:w="8195" w:type="dxa"/>
            <w:tcBorders/>
          </w:tcPr>
          <w:p>
            <w:pPr>
              <w:pStyle w:val="TableContents"/>
              <w:bidi w:val="0"/>
              <w:spacing w:before="0" w:after="0"/>
              <w:jc w:val="left"/>
              <w:rPr>
                <w:rFonts w:ascii="Times New Roman" w:hAnsi="Times New Roman"/>
                <w:sz w:val="20"/>
              </w:rPr>
            </w:pPr>
            <w:r>
              <w:rPr>
                <w:rFonts w:ascii="Times New Roman" w:hAnsi="Times New Roman"/>
                <w:sz w:val="20"/>
              </w:rPr>
              <w:t>Stern Solar, LLC</w:t>
            </w:r>
          </w:p>
        </w:tc>
        <w:tc>
          <w:tcPr>
            <w:tcW w:w="12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center"/>
              <w:rPr/>
            </w:pPr>
            <w:r>
              <w:rPr/>
              <w:t>Delaware</w:t>
            </w:r>
          </w:p>
        </w:tc>
      </w:tr>
    </w:tbl>
    <w:p>
      <w:pPr>
        <w:pStyle w:val="TextBody"/>
        <w:bidi w:val="0"/>
        <w:spacing w:before="0" w:after="0"/>
        <w:jc w:val="right"/>
        <w:rPr>
          <w:rFonts w:ascii="Times New Roman" w:hAnsi="Times New Roman"/>
          <w:b/>
          <w:sz w:val="20"/>
        </w:rPr>
      </w:pPr>
      <w:bookmarkStart w:id="52" w:name="d31834dex231.htm"/>
      <w:bookmarkStart w:id="53" w:name="ksd31834dex231"/>
      <w:bookmarkEnd w:id="52"/>
      <w:bookmarkEnd w:id="5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No. 333-293360) pertaining to the 2026 Equity Incentive Plan of SOLV Energy, Inc of our reports dated March 25, 2026, with respect to the financial statement of SOLV Energy, Inc and the consolidated financial statements of SOLV Energy Holdings LLC included in this Annual Report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Tysons, Virginia </w:t>
      </w:r>
    </w:p>
    <w:p>
      <w:pPr>
        <w:pStyle w:val="TextBody"/>
        <w:bidi w:val="0"/>
        <w:spacing w:before="0" w:after="0"/>
        <w:jc w:val="left"/>
        <w:rPr>
          <w:rFonts w:ascii="Times New Roman" w:hAnsi="Times New Roman"/>
          <w:sz w:val="20"/>
        </w:rPr>
      </w:pPr>
      <w:r>
        <w:rPr>
          <w:rFonts w:ascii="Times New Roman" w:hAnsi="Times New Roman"/>
          <w:sz w:val="20"/>
        </w:rPr>
        <w:t xml:space="preserve">March 25, 2026 </w:t>
      </w:r>
    </w:p>
    <w:p>
      <w:pPr>
        <w:pStyle w:val="TextBody"/>
        <w:bidi w:val="0"/>
        <w:spacing w:before="0" w:after="0"/>
        <w:jc w:val="right"/>
        <w:rPr>
          <w:rFonts w:ascii="Times New Roman" w:hAnsi="Times New Roman"/>
          <w:b/>
          <w:sz w:val="20"/>
        </w:rPr>
      </w:pPr>
      <w:bookmarkStart w:id="54" w:name="d31834dex311.htm"/>
      <w:bookmarkStart w:id="55" w:name="ksd31834dex311"/>
      <w:bookmarkEnd w:id="54"/>
      <w:bookmarkEnd w:id="55"/>
      <w:r>
        <w:rPr>
          <w:rFonts w:ascii="Times New Roman" w:hAnsi="Times New Roman"/>
          <w:b/>
          <w:sz w:val="20"/>
        </w:rPr>
        <w:t xml:space="preserve">Exhibit 31.1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120" w:after="0"/>
        <w:jc w:val="left"/>
        <w:rPr>
          <w:rFonts w:ascii="Times New Roman" w:hAnsi="Times New Roman"/>
          <w:sz w:val="20"/>
        </w:rPr>
      </w:pPr>
      <w:r>
        <w:rPr>
          <w:rFonts w:ascii="Times New Roman" w:hAnsi="Times New Roman"/>
          <w:sz w:val="20"/>
        </w:rPr>
        <w:t xml:space="preserve">I, George Hershman,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 of SOLV Energy, Inc.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9"/>
        <w:gridCol w:w="104"/>
        <w:gridCol w:w="404"/>
        <w:gridCol w:w="104"/>
        <w:gridCol w:w="320"/>
        <w:gridCol w:w="104"/>
        <w:gridCol w:w="4600"/>
      </w:tblGrid>
      <w:tr>
        <w:trPr/>
        <w:tc>
          <w:tcPr>
            <w:tcW w:w="45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600" w:type="dxa"/>
            <w:tcBorders/>
            <w:vAlign w:val="center"/>
          </w:tcPr>
          <w:p>
            <w:pPr>
              <w:pStyle w:val="TableContents"/>
              <w:bidi w:val="0"/>
              <w:spacing w:before="0" w:after="283"/>
              <w:jc w:val="left"/>
              <w:rPr>
                <w:sz w:val="4"/>
                <w:szCs w:val="4"/>
              </w:rPr>
            </w:pPr>
            <w:r>
              <w:rPr>
                <w:sz w:val="4"/>
                <w:szCs w:val="4"/>
              </w:rPr>
            </w:r>
          </w:p>
        </w:tc>
      </w:tr>
      <w:tr>
        <w:trPr/>
        <w:tc>
          <w:tcPr>
            <w:tcW w:w="4569" w:type="dxa"/>
            <w:tcBorders/>
          </w:tcPr>
          <w:p>
            <w:pPr>
              <w:pStyle w:val="TableContents"/>
              <w:bidi w:val="0"/>
              <w:spacing w:before="0" w:after="283"/>
              <w:jc w:val="left"/>
              <w:rPr/>
            </w:pPr>
            <w:r>
              <w:rPr/>
              <w:t>Date: March 25, 2026</w:t>
            </w:r>
          </w:p>
        </w:tc>
        <w:tc>
          <w:tcPr>
            <w:tcW w:w="104"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4600" w:type="dxa"/>
            <w:tcBorders>
              <w:bottom w:val="single" w:sz="2" w:space="0" w:color="000000"/>
            </w:tcBorders>
            <w:tcMar>
              <w:bottom w:w="28" w:type="dxa"/>
            </w:tcMar>
          </w:tcPr>
          <w:p>
            <w:pPr>
              <w:pStyle w:val="TableContents"/>
              <w:bidi w:val="0"/>
              <w:spacing w:before="0" w:after="283"/>
              <w:jc w:val="left"/>
              <w:rPr/>
            </w:pPr>
            <w:r>
              <w:rPr/>
              <w:t>/s/ George Hershman</w:t>
            </w:r>
          </w:p>
        </w:tc>
      </w:tr>
      <w:tr>
        <w:trPr/>
        <w:tc>
          <w:tcPr>
            <w:tcW w:w="45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024" w:type="dxa"/>
            <w:gridSpan w:val="3"/>
            <w:tcBorders/>
          </w:tcPr>
          <w:p>
            <w:pPr>
              <w:pStyle w:val="TableContents"/>
              <w:bidi w:val="0"/>
              <w:spacing w:before="0" w:after="283"/>
              <w:jc w:val="left"/>
              <w:rPr/>
            </w:pPr>
            <w:r>
              <w:rPr/>
              <w:t>Name: George Hershman</w:t>
            </w:r>
          </w:p>
        </w:tc>
      </w:tr>
      <w:tr>
        <w:trPr/>
        <w:tc>
          <w:tcPr>
            <w:tcW w:w="4569"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02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right"/>
        <w:rPr>
          <w:rFonts w:ascii="Times New Roman" w:hAnsi="Times New Roman"/>
          <w:b/>
          <w:sz w:val="20"/>
        </w:rPr>
      </w:pPr>
      <w:bookmarkStart w:id="56" w:name="d31834dex312.htm"/>
      <w:bookmarkStart w:id="57" w:name="ksd31834dex312"/>
      <w:bookmarkEnd w:id="56"/>
      <w:bookmarkEnd w:id="57"/>
      <w:r>
        <w:rPr>
          <w:rFonts w:ascii="Times New Roman" w:hAnsi="Times New Roman"/>
          <w:b/>
          <w:sz w:val="20"/>
        </w:rPr>
        <w:t xml:space="preserve">Exhibit 31.2 </w:t>
      </w:r>
      <w:r>
        <w:br w:type="page"/>
      </w:r>
    </w:p>
    <w:p>
      <w:pPr>
        <w:pStyle w:val="TextBody"/>
        <w:bidi w:val="0"/>
        <w:spacing w:before="120" w:after="0"/>
        <w:jc w:val="left"/>
        <w:rPr>
          <w:rFonts w:ascii="Times New Roman" w:hAnsi="Times New Roman"/>
          <w:b/>
          <w:sz w:val="20"/>
        </w:rPr>
      </w:pPr>
      <w:r>
        <w:rPr>
          <w:rFonts w:ascii="Times New Roman" w:hAnsi="Times New Roman"/>
          <w:b/>
          <w:sz w:val="20"/>
        </w:rPr>
        <w:t xml:space="preserve">CERTIFICATION PURSUANT TO RULES 13a-14(a) AND 15d-14(a) UNDER THE SECURITIES EXCHANGE ACT OF 1934, AS ADOPTED PURSUANT TO SECTION 302 OF THE SARBANES-OXLEY ACT OF 2002 </w:t>
      </w:r>
    </w:p>
    <w:p>
      <w:pPr>
        <w:pStyle w:val="TextBody"/>
        <w:bidi w:val="0"/>
        <w:spacing w:before="120" w:after="0"/>
        <w:jc w:val="left"/>
        <w:rPr>
          <w:rFonts w:ascii="Times New Roman" w:hAnsi="Times New Roman"/>
          <w:sz w:val="20"/>
        </w:rPr>
      </w:pPr>
      <w:r>
        <w:rPr>
          <w:rFonts w:ascii="Times New Roman" w:hAnsi="Times New Roman"/>
          <w:sz w:val="20"/>
        </w:rPr>
        <w:t xml:space="preserve">I, Chad Plotkin,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10-K of SOLV Energy, Inc.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[Omitted pursuant to Exchange Act Rule 13a-14(a)];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8"/>
        <w:gridCol w:w="102"/>
        <w:gridCol w:w="407"/>
        <w:gridCol w:w="102"/>
        <w:gridCol w:w="309"/>
        <w:gridCol w:w="102"/>
        <w:gridCol w:w="4595"/>
      </w:tblGrid>
      <w:tr>
        <w:trPr/>
        <w:tc>
          <w:tcPr>
            <w:tcW w:w="458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88" w:type="dxa"/>
            <w:tcBorders/>
          </w:tcPr>
          <w:p>
            <w:pPr>
              <w:pStyle w:val="TableContents"/>
              <w:bidi w:val="0"/>
              <w:spacing w:before="0" w:after="283"/>
              <w:jc w:val="left"/>
              <w:rPr/>
            </w:pPr>
            <w:r>
              <w:rPr/>
              <w:t>Date: March 25,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Chad Plotkin</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pPr>
            <w:r>
              <w:rPr/>
              <w:t>Name: Chad Plotkin</w:t>
            </w:r>
          </w:p>
        </w:tc>
      </w:tr>
      <w:tr>
        <w:trPr/>
        <w:tc>
          <w:tcPr>
            <w:tcW w:w="458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6" w:type="dxa"/>
            <w:gridSpan w:val="3"/>
            <w:tcBorders/>
          </w:tcPr>
          <w:p>
            <w:pPr>
              <w:pStyle w:val="TableContents"/>
              <w:bidi w:val="0"/>
              <w:spacing w:before="0" w:after="283"/>
              <w:jc w:val="left"/>
              <w:rPr/>
            </w:pPr>
            <w:r>
              <w:rPr/>
              <w:t>Title: Chief Financial Officer (Principal Financial Officer)</w:t>
            </w:r>
          </w:p>
        </w:tc>
      </w:tr>
    </w:tbl>
    <w:p>
      <w:pPr>
        <w:pStyle w:val="TextBody"/>
        <w:bidi w:val="0"/>
        <w:spacing w:before="0" w:after="0"/>
        <w:jc w:val="right"/>
        <w:rPr>
          <w:rFonts w:ascii="Times New Roman" w:hAnsi="Times New Roman"/>
          <w:b/>
          <w:sz w:val="20"/>
        </w:rPr>
      </w:pPr>
      <w:bookmarkStart w:id="58" w:name="d31834dex321.htm"/>
      <w:bookmarkStart w:id="59" w:name="ksd31834dex321"/>
      <w:bookmarkEnd w:id="58"/>
      <w:bookmarkEnd w:id="59"/>
      <w:r>
        <w:rPr>
          <w:rFonts w:ascii="Times New Roman" w:hAnsi="Times New Roman"/>
          <w:b/>
          <w:sz w:val="20"/>
        </w:rPr>
        <w:t xml:space="preserve">Exhibit 32.1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on Form 10-K of SOLV Energy, Inc. (the “Company”) for the year ended December 31, 2025, as filed with the Securities and Exchange Commission on the date hereof (the “Report”), I, George Hershman, Chief Executive Officer of the Company, certify pursuant to 18 U.S.C. Section 1350, as adopted pursuant to Section 906 of the Sarbanes-Oxley Act of 2002, that, to the best of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6"/>
        <w:gridCol w:w="102"/>
        <w:gridCol w:w="407"/>
        <w:gridCol w:w="102"/>
        <w:gridCol w:w="310"/>
        <w:gridCol w:w="102"/>
        <w:gridCol w:w="4596"/>
      </w:tblGrid>
      <w:tr>
        <w:trPr/>
        <w:tc>
          <w:tcPr>
            <w:tcW w:w="458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6" w:type="dxa"/>
            <w:tcBorders/>
            <w:vAlign w:val="center"/>
          </w:tcPr>
          <w:p>
            <w:pPr>
              <w:pStyle w:val="TableContents"/>
              <w:bidi w:val="0"/>
              <w:spacing w:before="0" w:after="283"/>
              <w:jc w:val="left"/>
              <w:rPr>
                <w:sz w:val="4"/>
                <w:szCs w:val="4"/>
              </w:rPr>
            </w:pPr>
            <w:r>
              <w:rPr>
                <w:sz w:val="4"/>
                <w:szCs w:val="4"/>
              </w:rPr>
            </w:r>
          </w:p>
        </w:tc>
      </w:tr>
      <w:tr>
        <w:trPr/>
        <w:tc>
          <w:tcPr>
            <w:tcW w:w="4586" w:type="dxa"/>
            <w:tcBorders/>
          </w:tcPr>
          <w:p>
            <w:pPr>
              <w:pStyle w:val="TableContents"/>
              <w:bidi w:val="0"/>
              <w:spacing w:before="0" w:after="283"/>
              <w:jc w:val="left"/>
              <w:rPr/>
            </w:pPr>
            <w:r>
              <w:rPr/>
              <w:t>Date: March 25, 2026</w:t>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Hershman</w:t>
            </w:r>
          </w:p>
        </w:tc>
      </w:tr>
      <w:tr>
        <w:trPr/>
        <w:tc>
          <w:tcPr>
            <w:tcW w:w="458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283"/>
              <w:jc w:val="left"/>
              <w:rPr/>
            </w:pPr>
            <w:r>
              <w:rPr/>
              <w:t>Name: George Hershman</w:t>
            </w:r>
          </w:p>
        </w:tc>
      </w:tr>
      <w:tr>
        <w:trPr/>
        <w:tc>
          <w:tcPr>
            <w:tcW w:w="458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8" w:type="dxa"/>
            <w:gridSpan w:val="3"/>
            <w:tcBorders/>
          </w:tcPr>
          <w:p>
            <w:pPr>
              <w:pStyle w:val="TableContents"/>
              <w:bidi w:val="0"/>
              <w:spacing w:before="0" w:after="283"/>
              <w:jc w:val="left"/>
              <w:rPr/>
            </w:pPr>
            <w:r>
              <w:rPr/>
              <w:t>Title: Chief Executive Officer and Director (Principal Executive Officer)</w:t>
            </w:r>
          </w:p>
        </w:tc>
      </w:tr>
    </w:tbl>
    <w:p>
      <w:pPr>
        <w:pStyle w:val="TextBody"/>
        <w:bidi w:val="0"/>
        <w:spacing w:before="0" w:after="0"/>
        <w:jc w:val="right"/>
        <w:rPr>
          <w:rFonts w:ascii="Times New Roman" w:hAnsi="Times New Roman"/>
          <w:b/>
          <w:sz w:val="20"/>
        </w:rPr>
      </w:pPr>
      <w:bookmarkStart w:id="60" w:name="d31834dex322.htm"/>
      <w:bookmarkStart w:id="61" w:name="ksd31834dex322"/>
      <w:bookmarkEnd w:id="60"/>
      <w:bookmarkEnd w:id="61"/>
      <w:r>
        <w:rPr>
          <w:rFonts w:ascii="Times New Roman" w:hAnsi="Times New Roman"/>
          <w:b/>
          <w:sz w:val="20"/>
        </w:rPr>
        <w:t xml:space="preserve">Exhibit 32.2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on Form 10-K of SOLV Energy, Inc. (the “Company”) for the year ended December 31, 2025, as filed with the Securities and Exchange Commission on the date hereof (the “Report”), I, Chad Plotkin, Chief Financial Officer of the Company, certify pursuant to 18 U.S.C. Section 1350, as adopted pursuant to Section 906 of the Sarbanes-Oxley Act of 2002, that, to the best of my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pPr>
            <w:r>
              <w:rPr/>
              <w:t>Date: March 25, 2026</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left"/>
              <w:rPr/>
            </w:pPr>
            <w:r>
              <w:rPr/>
              <w:t>Name: Chad Plotkin</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left"/>
              <w:rPr/>
            </w:pPr>
            <w:r>
              <w:rPr/>
              <w:t>Title: Chief Financial Officer (Principal Financial Officer)</w:t>
            </w:r>
          </w:p>
        </w:tc>
      </w:tr>
    </w:tbl>
    <w:p>
      <w:pPr>
        <w:pStyle w:val="TextBody"/>
        <w:bidi w:val="0"/>
        <w:spacing w:before="0" w:after="0"/>
        <w:jc w:val="right"/>
        <w:rPr>
          <w:rFonts w:ascii="Times New Roman" w:hAnsi="Times New Roman"/>
          <w:b/>
          <w:sz w:val="20"/>
        </w:rPr>
      </w:pPr>
      <w:bookmarkStart w:id="62" w:name="d31834dex971.htm"/>
      <w:bookmarkStart w:id="63" w:name="ksd31834dex971"/>
      <w:bookmarkEnd w:id="62"/>
      <w:bookmarkEnd w:id="63"/>
      <w:r>
        <w:rPr>
          <w:rFonts w:ascii="Times New Roman" w:hAnsi="Times New Roman"/>
          <w:b/>
          <w:sz w:val="20"/>
        </w:rPr>
        <w:t xml:space="preserve">Exhibit 97.1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240" w:after="0"/>
        <w:jc w:val="left"/>
        <w:rPr>
          <w:rFonts w:ascii="Times New Roman" w:hAnsi="Times New Roman"/>
          <w:b/>
          <w:sz w:val="20"/>
        </w:rPr>
      </w:pPr>
      <w:r>
        <w:rPr>
          <w:rFonts w:ascii="Times New Roman" w:hAnsi="Times New Roman"/>
          <w:b/>
          <w:sz w:val="20"/>
        </w:rPr>
        <w:t xml:space="preserve">Incentive-Based Compensation Recovery Policy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Introduction</w:t>
      </w:r>
      <w:r>
        <w:rPr>
          <w:rFonts w:ascii="Times New Roman" w:hAnsi="Times New Roman"/>
          <w:sz w:val="20"/>
        </w:rPr>
        <w:t xml:space="preserve">. The board of directors (the “Board”) of SOLV Energy, Inc. (the “Company”) has adopted this policy (the “Policy”) to provide for the recovery by the Company, in the event of a Recovery Trigger (as defined below), of certain incentive-based compensation received by certain current and former executive officers, as further specified in this Policy. </w:t>
      </w:r>
    </w:p>
    <w:p>
      <w:pPr>
        <w:pStyle w:val="TextBody"/>
        <w:bidi w:val="0"/>
        <w:spacing w:before="240" w:after="0"/>
        <w:jc w:val="left"/>
        <w:rPr>
          <w:rFonts w:ascii="Times New Roman" w:hAnsi="Times New Roman"/>
          <w:sz w:val="20"/>
        </w:rPr>
      </w:pPr>
      <w:r>
        <w:rPr>
          <w:rFonts w:ascii="Times New Roman" w:hAnsi="Times New Roman"/>
          <w:sz w:val="20"/>
        </w:rPr>
        <w:t xml:space="preserve">This Policy is intended to comply with the requirements of Listing Rule 5608 of the Nasdaq Stock Market LLC (“Nasdaq”) relating to erroneously awarded compensation.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Administration.</w:t>
      </w:r>
      <w:r>
        <w:rPr>
          <w:rFonts w:ascii="Times New Roman" w:hAnsi="Times New Roman"/>
          <w:sz w:val="20"/>
        </w:rPr>
        <w:t xml:space="preserve"> The Compensation Committee of the Board (the “Compensation Committee”) will administer and interpret this Policy and make all determinations for the administration of this Policy. Any determinations made by the Compensation Committee will be final, binding, and conclusive on all affected individuals. For the avoidance of doubt, any director who is a Covered Individual (as defined below) under this Policy may not participate in discussions related to, or vote on, any potential recovery of their Incentive-Based Compensation (as defined below) under this Policy.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Statement of Policy.</w:t>
      </w:r>
      <w:r>
        <w:rPr>
          <w:rFonts w:ascii="Times New Roman" w:hAnsi="Times New Roman"/>
          <w:sz w:val="20"/>
        </w:rPr>
        <w:t xml:space="preserve"> Following the occurrence of a Recovery Trigger, the Company will recover reasonably promptly the Erroneously Awarded Compensation (as defined below) from the applicable Covered Individual(s), except as in accordance with this Policy.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 Covered Individuals Subject to this Policy. </w:t>
      </w:r>
      <w:r>
        <w:rPr>
          <w:rFonts w:ascii="Times New Roman" w:hAnsi="Times New Roman"/>
          <w:sz w:val="20"/>
        </w:rPr>
        <w:t xml:space="preserve">The Policy is applicable to any current or former “executive officer” of the Company as defined in Nasdaq Rule 5608 who “received” (see Section 7 below) the subject Incentive-Based Compensation after beginning service as an “executive officer” and who served as an “executive officer” at any time during the performance period (for that Incentive-Based Compensation) covered by the Recovery Period (as defined below) (together, “Covered Individuals”).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 Recovery Trigger for Accounting Restatements. </w:t>
      </w:r>
      <w:r>
        <w:rPr>
          <w:rFonts w:ascii="Times New Roman" w:hAnsi="Times New Roman"/>
          <w:sz w:val="20"/>
        </w:rPr>
        <w:t xml:space="preserve">A “Recovery Trigger” will have occurred upon the earlier to occur of: (i) the date the Board, the Audit Committee of the Board, or the officer or officers of the Company authorized to take such action concludes, or reasonably should have concluded, that the Company is required to prepare an Accounting Restatement (as defined below), or (ii) the date a court, regulator or other legally authorized body directs the Company to prepare an Accounting Restatement.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Policy, an “Accounting Restatement” means a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Company’s obligation to recover Erroneously Awarded Compensation is not dependent on if or when the restated financial statements are filed with the Securities and Exchange Commission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Recovery Period.</w:t>
      </w:r>
      <w:r>
        <w:rPr>
          <w:rFonts w:ascii="Times New Roman" w:hAnsi="Times New Roman"/>
          <w:sz w:val="20"/>
        </w:rPr>
        <w:t xml:space="preserve"> The Policy will apply to Incentive-Based Compensation “received” (see Section 7 below) during the three completed fiscal years immediately preceding the date on which a Recovery Trigger occurs (the “Recovery Period”). In addition to these last three completed fiscal years, this Policy applies to any transition period (that results from a change in the Company’s fiscal year) within or immediately following such three completed fiscal years. However, a transition period between the last day of the Company’s previous fiscal year end and the first day of its new fiscal year that comprises a period of nine to 12 months would be deemed a completed fiscal year.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 Compensation “Received”. </w:t>
      </w:r>
      <w:r>
        <w:rPr>
          <w:rFonts w:ascii="Times New Roman" w:hAnsi="Times New Roman"/>
          <w:sz w:val="20"/>
        </w:rPr>
        <w:t xml:space="preserve">Incentive-Based Compensation is deemed “received” by a Covered Individual in the Company’s fiscal period during which the Financial Reporting Measure (as defined below) specified in the Incentive-Based Compensation award is attained, even if the payment or grant of the applicable award occurs after the end of that period. Notwithstanding anything to the contrary contained herein, the only compensation subject to this Policy is Incentive-Based Compensation “received” by Covered Individuals on or after October 2, 2023 and while the Company had a class of securities listed on a national securities exchange or a national securities association.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 Incentive-Based Compensation Subject to Recovery. </w:t>
      </w:r>
      <w:r>
        <w:rPr>
          <w:rFonts w:ascii="Times New Roman" w:hAnsi="Times New Roman"/>
          <w:sz w:val="20"/>
        </w:rPr>
        <w:t xml:space="preserve">Any compensation that is granted, earned, or vested based wholly or in part upon the attainment of a Financial Reporting Measure (“Incentive-Based Compensation”) will be subject to this Policy. A “Financial Reporting Measure” is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Incentive-Based Compensation is subject to recovery under this Policy even if the Accounting Restatement was not due to any misconduct or failure of oversight on the part a Covered Individual.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 </w:t>
      </w:r>
      <w:r>
        <w:rPr>
          <w:rFonts w:ascii="Times New Roman" w:hAnsi="Times New Roman"/>
          <w:sz w:val="20"/>
        </w:rPr>
        <w:t xml:space="preserve">Recovery of Erroneously Awarded Compensation. In the event of a Recovery Trigger, the Company will seek to recover from any applicable Covered Individual an amount of Incentive-Based Compensation “received” (see Section 7 above) that exceeds the amount that otherwise would have been “received” (see Section 7 above) by such Covered Individual had it been determined based on the restated amounts, computed without regard to any taxes paid (such excess amount, the “Erroneously Awarded Compensation”).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(see Section 7 above) and (B) the Company will maintain documentation of that reasonable estimate and, if required by Nasdaq, provide such documentation to Nasdaq.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 Limited Exceptions to Recovery. </w:t>
      </w:r>
      <w:r>
        <w:rPr>
          <w:rFonts w:ascii="Times New Roman" w:hAnsi="Times New Roman"/>
          <w:sz w:val="20"/>
        </w:rPr>
        <w:t xml:space="preserve">The Company must seek to recover Erroneously Awarded Compensation in compliance with this Policy, except to the extent that the conditions of paragraphs (b)(1)(iv)(A), (B) or (C) of Nasdaq Rule 5608 are met and the Compensation Committee, or in the absence of such a committee, a majority of the independent directors serving on the Board, has made a determination that recovery would be impracticable.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Method of Recovery. </w:t>
      </w:r>
      <w:r>
        <w:rPr>
          <w:rFonts w:ascii="Times New Roman" w:hAnsi="Times New Roman"/>
          <w:sz w:val="20"/>
        </w:rPr>
        <w:t xml:space="preserve">The Board and/or Compensation Committee, as applicable, will determine in its sole discretion how the Company will affect any reimbursement or recovery pursuant to this Policy, including, but not limited to the following: (1) seeking repayment from the Covered Individual; (2) reducing the amount that would otherwise be payable to the Covered Individual under any compensatory plan, program, agreement, policy or arrangement maintained by the Company or any of its affiliates; (3) canceling any outstanding vested or unvested award (whether cash- or equity-based) previously granted to the Covered Individual; or (4) any combination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Policy Relationship to other Recoupment or Clawback Provisions.</w:t>
      </w:r>
      <w:r>
        <w:rPr>
          <w:rFonts w:ascii="Times New Roman" w:hAnsi="Times New Roman"/>
          <w:sz w:val="20"/>
        </w:rPr>
        <w:t xml:space="preserve"> This Policy supplements any requirements imposed pursuant to applicable law or regulations, any clawback or recovery provision in the Company’s other policies, plans, awards and individual employment or other agreements (including any recovery provisions in the Company’s equity incentive plans or award agreements), and any other rights or remedies available to the Company, including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 recovery is initiated under this Policy, amounts of Incentive-Based Compensation previously recovered by the Company from a Covered Individual pursuant to the Company’s other policies, plans, awards and individual employment or other agreements shall be considered so that recovery is not duplicative, provided that in the event of a conflict between any applicable clawback or recoupment provision, including this Policy, the right to clawback or recoupment shall be interpreted to result in the greatest clawback or recoupment from the Covered Individual.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 Amendment or Termination of Policy.</w:t>
      </w:r>
      <w:r>
        <w:rPr>
          <w:rFonts w:ascii="Times New Roman" w:hAnsi="Times New Roman"/>
          <w:sz w:val="20"/>
        </w:rPr>
        <w:t xml:space="preserve"> The Board may amend this Policy at any time, and from time to time, in its discretion. The Board may terminate this Policy at any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 Disclosure.</w:t>
      </w:r>
      <w:r>
        <w:rPr>
          <w:rFonts w:ascii="Times New Roman" w:hAnsi="Times New Roman"/>
          <w:sz w:val="20"/>
        </w:rPr>
        <w:t xml:space="preserve"> The Company is required to file this Policy as an exhibit to its Form 10-K filed with the SEC and is also subject to the disclosure requirements of Item 402(w) of Regulation S-K, SEC Rule 10D-1 and Nasdaq Rule 5608, as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 Indemnification.</w:t>
      </w:r>
      <w:r>
        <w:rPr>
          <w:rFonts w:ascii="Times New Roman" w:hAnsi="Times New Roman"/>
          <w:sz w:val="20"/>
        </w:rPr>
        <w:t xml:space="preserve"> The Company is prohibited from indemnifying any Covered Individual against the loss of Erroneously Awarded Compensation, including any payment or reimbursement for the cost of third-party insurance purchased by any Covered Individual to fund potential obligations to the Company under this Policy.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 Successors.</w:t>
      </w:r>
      <w:r>
        <w:rPr>
          <w:rFonts w:ascii="Times New Roman" w:hAnsi="Times New Roman"/>
          <w:sz w:val="20"/>
        </w:rPr>
        <w:t xml:space="preserve"> This Policy shall be binding and enforceable against all Covered Individuals and their successors, heirs, beneficiaries, executors, administrators or other legal or personal representatives.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17. Validity and Enforceability. </w:t>
      </w:r>
      <w:r>
        <w:rPr>
          <w:rFonts w:ascii="Times New Roman" w:hAnsi="Times New Roman"/>
          <w:sz w:val="20"/>
        </w:rPr>
        <w:t xml:space="preserve">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This Policy is intended to comply with, shall be interpreted to comply with, and shall be deemed automatically amended to comply with Nasdaq Rule 5608, and any related rules or regulations promulgated by the SEC or Nasdaq including any additional or new requirements that become effective after October 2,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18. Acknowledgement. </w:t>
      </w:r>
      <w:r>
        <w:rPr>
          <w:rFonts w:ascii="Times New Roman" w:hAnsi="Times New Roman"/>
          <w:sz w:val="20"/>
        </w:rPr>
        <w:t xml:space="preserve">Covered Individuals must sign the acknowledgment in the form attached to this Policy as soon as practicable after the later of (i) the effective date of this Policy or (ii) the date on which the individual is appointed to a position as a Covered Individual and receives their Incentive-Based Compensation award, and annually thereafter. </w:t>
      </w:r>
    </w:p>
    <w:p>
      <w:pPr>
        <w:pStyle w:val="TextBody"/>
        <w:bidi w:val="0"/>
        <w:spacing w:before="240" w:after="0"/>
        <w:jc w:val="left"/>
        <w:rPr>
          <w:rFonts w:ascii="Times New Roman" w:hAnsi="Times New Roman"/>
          <w:sz w:val="20"/>
        </w:rPr>
      </w:pPr>
      <w:r>
        <w:rPr>
          <w:rFonts w:ascii="Times New Roman" w:hAnsi="Times New Roman"/>
          <w:sz w:val="20"/>
        </w:rPr>
        <w:t xml:space="preserve">Adopted by the Board on February 10, 2026, effective upon the Company’s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ACKNOWLEDGMENT AND AGREEMENT </w:t>
      </w:r>
    </w:p>
    <w:p>
      <w:pPr>
        <w:pStyle w:val="TextBody"/>
        <w:bidi w:val="0"/>
        <w:spacing w:before="240" w:after="0"/>
        <w:jc w:val="left"/>
        <w:rPr>
          <w:rFonts w:ascii="Times New Roman" w:hAnsi="Times New Roman"/>
          <w:sz w:val="20"/>
        </w:rPr>
      </w:pPr>
      <w:r>
        <w:rPr>
          <w:rFonts w:ascii="Times New Roman" w:hAnsi="Times New Roman"/>
          <w:sz w:val="20"/>
        </w:rPr>
        <w:t xml:space="preserve">I acknowledge that I have received and reviewed a copy of the SOLV Energy, Inc. Incentive-Based Compensation Recovery Policy (as may be amended from time to time, the “Policy”) and agree to be bound by and subject to its terms and conditions for so long as I am a “Covered Individual” under the Policy. </w:t>
      </w:r>
    </w:p>
    <w:p>
      <w:pPr>
        <w:pStyle w:val="TextBody"/>
        <w:bidi w:val="0"/>
        <w:spacing w:before="240" w:after="0"/>
        <w:jc w:val="left"/>
        <w:rPr>
          <w:rFonts w:ascii="Times New Roman" w:hAnsi="Times New Roman"/>
          <w:sz w:val="20"/>
        </w:rPr>
      </w:pPr>
      <w:r>
        <w:rPr>
          <w:rFonts w:ascii="Times New Roman" w:hAnsi="Times New Roman"/>
          <w:sz w:val="20"/>
        </w:rPr>
        <w:t xml:space="preserve">I further acknowledge, understand and agree that, as a Covered Individual, the Policy could affect the compensation I received or may be entitled to receive from SOLV Energy, Inc or its subsidiaries under various agreements, plans and arrangements with SOLV Energy, Inc or its subsidiaries. To the extent permitted by law, I hereby authorize SOLV Energy, Inc to deduct from my wages and other forms of compensation (including but not limited to bonus, incentive, and equity compensation) any reimbursement or recovery pursuant to this Policy. </w:t>
      </w:r>
    </w:p>
    <w:p>
      <w:pPr>
        <w:pStyle w:val="TextBody"/>
        <w:bidi w:val="0"/>
        <w:spacing w:before="240" w:after="0"/>
        <w:jc w:val="left"/>
        <w:rPr>
          <w:rFonts w:ascii="Times New Roman" w:hAnsi="Times New Roman"/>
          <w:sz w:val="20"/>
        </w:rPr>
      </w:pPr>
      <w:r>
        <w:rPr>
          <w:rFonts w:ascii="Times New Roman" w:hAnsi="Times New Roman"/>
          <w:b/>
          <w:sz w:val="20"/>
        </w:rPr>
        <w:t>Signed</w:t>
      </w:r>
      <w:r>
        <w:rPr>
          <w:rFonts w:ascii="Times New Roman" w:hAnsi="Times New Roman"/>
          <w:sz w:val="20"/>
        </w:rPr>
        <w:t xml:space="preserve">:  ______________________ </w:t>
      </w:r>
    </w:p>
    <w:p>
      <w:pPr>
        <w:pStyle w:val="TextBody"/>
        <w:bidi w:val="0"/>
        <w:spacing w:before="240" w:after="0"/>
        <w:jc w:val="left"/>
        <w:rPr>
          <w:rFonts w:ascii="Times New Roman" w:hAnsi="Times New Roman"/>
          <w:sz w:val="20"/>
        </w:rPr>
      </w:pPr>
      <w:r>
        <w:rPr>
          <w:rFonts w:ascii="Times New Roman" w:hAnsi="Times New Roman"/>
          <w:b/>
          <w:sz w:val="20"/>
        </w:rPr>
        <w:t>Print Name</w:t>
      </w:r>
      <w:r>
        <w:rPr>
          <w:rFonts w:ascii="Times New Roman" w:hAnsi="Times New Roman"/>
          <w:sz w:val="20"/>
        </w:rPr>
        <w:t xml:space="preserve">:  ______________________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______________________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65636/000119312526021044/d12408dex41.htm" TargetMode="External"/><Relationship Id="rId3" Type="http://schemas.openxmlformats.org/officeDocument/2006/relationships/hyperlink" Target="http://www.sec.gov/Archives/edgar/data/2065636/000119312526048814/d189834dex106.htm" TargetMode="External"/><Relationship Id="rId4" Type="http://schemas.openxmlformats.org/officeDocument/2006/relationships/hyperlink" Target="http://www.sec.gov/Archives/edgar/data/2065636/000119312526048814/d189834dex104.htm" TargetMode="External"/><Relationship Id="rId5" Type="http://schemas.openxmlformats.org/officeDocument/2006/relationships/hyperlink" Target="http://www.sec.gov/Archives/edgar/data/2065636/000119312526048814/d189834dex102.htm" TargetMode="External"/><Relationship Id="rId6" Type="http://schemas.openxmlformats.org/officeDocument/2006/relationships/hyperlink" Target="http://www.sec.gov/Archives/edgar/data/2065636/000119312526048814/d189834dex103.htm" TargetMode="External"/><Relationship Id="rId7" Type="http://schemas.openxmlformats.org/officeDocument/2006/relationships/hyperlink" Target="http://www.sec.gov/Archives/edgar/data/2065636/000119312526015169/d12408dex107.htm" TargetMode="External"/><Relationship Id="rId8" Type="http://schemas.openxmlformats.org/officeDocument/2006/relationships/hyperlink" Target="http://www.sec.gov/Archives/edgar/data/2065636/000119312526015169/d12408dex108.htm" TargetMode="External"/><Relationship Id="rId9" Type="http://schemas.openxmlformats.org/officeDocument/2006/relationships/hyperlink" Target="http://www.sec.gov/Archives/edgar/data/2065636/000119312526015169/d12408dex109.htm" TargetMode="External"/><Relationship Id="rId10" Type="http://schemas.openxmlformats.org/officeDocument/2006/relationships/hyperlink" Target="http://www.sec.gov/Archives/edgar/data/2065636/000119312526015169/d12408dex1010.htm" TargetMode="External"/><Relationship Id="rId11" Type="http://schemas.openxmlformats.org/officeDocument/2006/relationships/hyperlink" Target="http://www.sec.gov/Archives/edgar/data/2065636/000119312526015169/d12408dex1011.htm" TargetMode="External"/><Relationship Id="rId12" Type="http://schemas.openxmlformats.org/officeDocument/2006/relationships/hyperlink" Target="http://www.sec.gov/Archives/edgar/data/2065636/000119312526015169/d12408dex1012.htm" TargetMode="External"/><Relationship Id="rId13" Type="http://schemas.openxmlformats.org/officeDocument/2006/relationships/hyperlink" Target="http://www.sec.gov/Archives/edgar/data/2065636/000119312526015169/d12408dex1013.htm" TargetMode="External"/><Relationship Id="rId14" Type="http://schemas.openxmlformats.org/officeDocument/2006/relationships/hyperlink" Target="http://www.sec.gov/Archives/edgar/data/2065636/000119312526045032/d10103dex991.htm" TargetMode="External"/><Relationship Id="rId15" Type="http://schemas.openxmlformats.org/officeDocument/2006/relationships/hyperlink" Target="http://www.sec.gov/Archives/edgar/data/2065636/000119312526015169/d12408dex1015.htm" TargetMode="External"/><Relationship Id="rId16" Type="http://schemas.openxmlformats.org/officeDocument/2006/relationships/hyperlink" Target="http://www.sec.gov/Archives/edgar/data/2065636/000119312526015169/d12408dex1016.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244</Pages>
  <Words>136730</Words>
  <Characters>741237</Characters>
  <CharactersWithSpaces>885758</CharactersWithSpaces>
  <Paragraphs>15645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EX-97.1</dc:title>
</cp:coreProperties>
</file>