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005d10q.htm"/>
        <w:bookmarkStart w:id="1" w:name="ksd27005d10q"/>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March 31, 2026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For the transition period from</w:t>
      </w:r>
    </w:p>
    <w:p>
      <w:pPr>
        <w:pStyle w:val="TextBody"/>
        <w:bidi w:val="0"/>
        <w:spacing w:before="240" w:after="0"/>
        <w:jc w:val="center"/>
        <w:rPr>
          <w:rFonts w:ascii="Times New Roman" w:hAnsi="Times New Roman"/>
          <w:sz w:val="20"/>
        </w:rPr>
      </w:pPr>
      <w:r>
        <w:rPr>
          <w:rFonts w:ascii="Times New Roman" w:hAnsi="Times New Roman"/>
          <w:sz w:val="20"/>
        </w:rPr>
        <w:t xml:space="preserve">___________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to ___________</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001-43117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12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33-4537250</w:t>
            </w:r>
          </w:p>
        </w:tc>
      </w:tr>
      <w:tr>
        <w:trPr/>
        <w:tc>
          <w:tcPr>
            <w:tcW w:w="3125" w:type="dxa"/>
            <w:tcBorders/>
            <w:vAlign w:val="center"/>
          </w:tcPr>
          <w:p>
            <w:pPr>
              <w:pStyle w:val="TableContents"/>
              <w:bidi w:val="0"/>
              <w:spacing w:before="0" w:after="0"/>
              <w:jc w:val="center"/>
              <w:rPr>
                <w:b/>
                <w:spacing w:val="0"/>
              </w:rPr>
            </w:pPr>
            <w:r>
              <w:rPr>
                <w:b/>
                <w:spacing w:val="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16680 West Bernardo Drive, San Diego, </w:t>
      </w:r>
    </w:p>
    <w:p>
      <w:pPr>
        <w:pStyle w:val="TextBody"/>
        <w:bidi w:val="0"/>
        <w:spacing w:before="240" w:after="0"/>
        <w:jc w:val="center"/>
        <w:rPr>
          <w:rFonts w:ascii="Times New Roman" w:hAnsi="Times New Roman"/>
          <w:b/>
          <w:sz w:val="20"/>
        </w:rPr>
      </w:pPr>
      <w:r>
        <w:rPr>
          <w:rFonts w:ascii="Times New Roman" w:hAnsi="Times New Roman"/>
          <w:b/>
          <w:sz w:val="20"/>
        </w:rPr>
        <w:t>CA</w:t>
      </w:r>
    </w:p>
    <w:p>
      <w:pPr>
        <w:pStyle w:val="TextBody"/>
        <w:bidi w:val="0"/>
        <w:spacing w:before="240" w:after="0"/>
        <w:jc w:val="center"/>
        <w:rPr>
          <w:rFonts w:ascii="Times New Roman" w:hAnsi="Times New Roman"/>
          <w:b/>
          <w:sz w:val="20"/>
        </w:rPr>
      </w:pPr>
      <w:r>
        <w:rPr>
          <w:rFonts w:ascii="Times New Roman" w:hAnsi="Times New Roman"/>
          <w:b/>
          <w:sz w:val="20"/>
        </w:rPr>
        <w:t xml:space="preserve">92127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(858)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251-4888</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9555" w:type="dxa"/>
        <w:jc w:val="left"/>
        <w:tblInd w:w="0" w:type="dxa"/>
        <w:tblLayout w:type="fixed"/>
        <w:tblCellMar>
          <w:top w:w="0" w:type="dxa"/>
          <w:left w:w="0" w:type="dxa"/>
          <w:bottom w:w="0" w:type="dxa"/>
          <w:right w:w="0" w:type="dxa"/>
        </w:tblCellMar>
      </w:tblPr>
      <w:tblGrid>
        <w:gridCol w:w="5390"/>
        <w:gridCol w:w="60"/>
        <w:gridCol w:w="740"/>
        <w:gridCol w:w="60"/>
        <w:gridCol w:w="3305"/>
      </w:tblGrid>
      <w:tr>
        <w:trPr/>
        <w:tc>
          <w:tcPr>
            <w:tcW w:w="5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53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390" w:type="dxa"/>
            <w:tcBorders/>
            <w:vAlign w:val="center"/>
          </w:tcPr>
          <w:p>
            <w:pPr>
              <w:pStyle w:val="TableContents"/>
              <w:bidi w:val="0"/>
              <w:spacing w:before="0" w:after="0"/>
              <w:jc w:val="center"/>
              <w:rPr>
                <w:b/>
                <w:spacing w:val="0"/>
              </w:rPr>
            </w:pPr>
            <w:r>
              <w:rPr>
                <w:b/>
                <w:spacing w:val="0"/>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MWH</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A Common Stock as of May </w:t>
      </w:r>
    </w:p>
    <w:p>
      <w:pPr>
        <w:pStyle w:val="TextBody"/>
        <w:bidi w:val="0"/>
        <w:spacing w:before="240" w:after="0"/>
        <w:jc w:val="left"/>
        <w:rPr>
          <w:rFonts w:ascii="Times New Roman" w:hAnsi="Times New Roman"/>
          <w:spacing w:val="0"/>
          <w:sz w:val="20"/>
        </w:rPr>
      </w:pPr>
      <w:r>
        <w:rPr>
          <w:rFonts w:ascii="Times New Roman" w:hAnsi="Times New Roman"/>
          <w:spacing w:val="0"/>
          <w:sz w:val="20"/>
        </w:rPr>
        <w:t>8</w:t>
      </w:r>
    </w:p>
    <w:p>
      <w:pPr>
        <w:pStyle w:val="TextBody"/>
        <w:bidi w:val="0"/>
        <w:spacing w:before="240" w:after="0"/>
        <w:jc w:val="left"/>
        <w:rPr>
          <w:rFonts w:ascii="Times New Roman" w:hAnsi="Times New Roman"/>
          <w:sz w:val="20"/>
        </w:rPr>
      </w:pPr>
      <w:r>
        <w:rPr>
          <w:rFonts w:ascii="Times New Roman" w:hAnsi="Times New Roman"/>
          <w:sz w:val="20"/>
        </w:rPr>
        <w:t>, 2026: 115,348,571 shares</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B Common Stock as of May </w:t>
      </w:r>
    </w:p>
    <w:p>
      <w:pPr>
        <w:pStyle w:val="TextBody"/>
        <w:bidi w:val="0"/>
        <w:spacing w:before="240" w:after="0"/>
        <w:jc w:val="left"/>
        <w:rPr>
          <w:rFonts w:ascii="Times New Roman" w:hAnsi="Times New Roman"/>
          <w:spacing w:val="0"/>
          <w:sz w:val="20"/>
        </w:rPr>
      </w:pPr>
      <w:r>
        <w:rPr>
          <w:rFonts w:ascii="Times New Roman" w:hAnsi="Times New Roman"/>
          <w:spacing w:val="0"/>
          <w:sz w:val="20"/>
        </w:rPr>
        <w:t>8</w:t>
      </w:r>
    </w:p>
    <w:p>
      <w:pPr>
        <w:pStyle w:val="TextBody"/>
        <w:bidi w:val="0"/>
        <w:spacing w:before="240" w:after="0"/>
        <w:jc w:val="left"/>
        <w:rPr>
          <w:rFonts w:ascii="Times New Roman" w:hAnsi="Times New Roman"/>
          <w:sz w:val="20"/>
        </w:rPr>
      </w:pPr>
      <w:r>
        <w:rPr>
          <w:rFonts w:ascii="Times New Roman" w:hAnsi="Times New Roman"/>
          <w:sz w:val="20"/>
        </w:rPr>
        <w:t xml:space="preserve">, 2026: 87,046,962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shares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FORM 10-Q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25"/>
        <w:gridCol w:w="120"/>
        <w:gridCol w:w="90"/>
        <w:gridCol w:w="395"/>
        <w:gridCol w:w="75"/>
      </w:tblGrid>
      <w:tr>
        <w:trPr/>
        <w:tc>
          <w:tcPr>
            <w:tcW w:w="9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2">
              <w:r>
                <w:rPr>
                  <w:rStyle w:val="InternetLink"/>
                  <w:rFonts w:ascii="Times New Roman" w:hAnsi="Times New Roman"/>
                  <w:sz w:val="20"/>
                </w:rPr>
                <w:t>Certain Definitions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3">
              <w:r>
                <w:rPr>
                  <w:rStyle w:val="InternetLink"/>
                  <w:rFonts w:ascii="Times New Roman" w:hAnsi="Times New Roman"/>
                  <w:sz w:val="20"/>
                </w:rPr>
                <w:t>Presentation of Financial Results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4">
              <w:r>
                <w:rPr>
                  <w:rStyle w:val="InternetLink"/>
                  <w:rFonts w:ascii="Times New Roman" w:hAnsi="Times New Roman"/>
                  <w:sz w:val="20"/>
                </w:rPr>
                <w:t>The Transactions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27005_5">
              <w:r>
                <w:rPr>
                  <w:rStyle w:val="InternetLink"/>
                  <w:rFonts w:ascii="Times New Roman" w:hAnsi="Times New Roman"/>
                  <w:sz w:val="20"/>
                </w:rPr>
                <w:t>PART I. FINANCIAL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27005_6">
              <w:r>
                <w:rPr>
                  <w:rStyle w:val="InternetLink"/>
                  <w:rFonts w:ascii="Times New Roman" w:hAnsi="Times New Roman"/>
                  <w:sz w:val="20"/>
                </w:rPr>
                <w:t>Item 1. Financial Statements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7">
              <w:r>
                <w:rPr>
                  <w:rStyle w:val="InternetLink"/>
                  <w:rFonts w:ascii="Times New Roman" w:hAnsi="Times New Roman"/>
                  <w:sz w:val="20"/>
                </w:rPr>
                <w:t>Condensed Consolidated Balance Sheets as of March 31, 2026 and December 31, 2025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8">
              <w:r>
                <w:rPr>
                  <w:rStyle w:val="InternetLink"/>
                  <w:rFonts w:ascii="Times New Roman" w:hAnsi="Times New Roman"/>
                  <w:sz w:val="20"/>
                </w:rPr>
                <w:t>Condensed Consolidated Statements of Operations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9">
              <w:r>
                <w:rPr>
                  <w:rStyle w:val="InternetLink"/>
                  <w:rFonts w:ascii="Times New Roman" w:hAnsi="Times New Roman"/>
                  <w:sz w:val="20"/>
                </w:rPr>
                <w:t>Condensed Consolidated Statements of Changes of Stockholders’/Member’s Equity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0">
              <w:r>
                <w:rPr>
                  <w:rStyle w:val="InternetLink"/>
                  <w:rFonts w:ascii="Times New Roman" w:hAnsi="Times New Roman"/>
                  <w:sz w:val="20"/>
                </w:rPr>
                <w:t>Condensed Consolidated Statements of Cash Flows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1">
              <w:r>
                <w:rPr>
                  <w:rStyle w:val="InternetLink"/>
                  <w:rFonts w:ascii="Times New Roman" w:hAnsi="Times New Roman"/>
                  <w:sz w:val="20"/>
                </w:rPr>
                <w:t>Notes to the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2">
              <w:r>
                <w:rPr>
                  <w:rStyle w:val="InternetLink"/>
                  <w:rFonts w:ascii="Times New Roman" w:hAnsi="Times New Roman"/>
                  <w:sz w:val="20"/>
                </w:rPr>
                <w:t>Item 2.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3">
              <w:r>
                <w:rPr>
                  <w:rStyle w:val="InternetLink"/>
                  <w:rFonts w:ascii="Times New Roman" w:hAnsi="Times New Roman"/>
                  <w:sz w:val="20"/>
                </w:rPr>
                <w:t>Item 3. 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4">
              <w:r>
                <w:rPr>
                  <w:rStyle w:val="InternetLink"/>
                  <w:rFonts w:ascii="Times New Roman" w:hAnsi="Times New Roman"/>
                  <w:sz w:val="20"/>
                </w:rPr>
                <w:t>Item 4. Controls and Procedures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27005_15">
              <w:r>
                <w:rPr>
                  <w:rStyle w:val="InternetLink"/>
                  <w:rFonts w:ascii="Times New Roman" w:hAnsi="Times New Roman"/>
                  <w:sz w:val="20"/>
                </w:rPr>
                <w:t>PART II. OTHER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vAlign w:val="center"/>
          </w:tcPr>
          <w:p>
            <w:pPr>
              <w:pStyle w:val="TableContents"/>
              <w:bidi w:val="0"/>
              <w:spacing w:before="0" w:after="0"/>
              <w:jc w:val="left"/>
              <w:rPr/>
            </w:pPr>
            <w:hyperlink w:anchor="toc27005_16">
              <w:r>
                <w:rPr>
                  <w:rStyle w:val="InternetLink"/>
                  <w:rFonts w:ascii="Times New Roman" w:hAnsi="Times New Roman"/>
                  <w:sz w:val="20"/>
                </w:rPr>
                <w:t>Item 1. Legal Proceedings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7">
              <w:r>
                <w:rPr>
                  <w:rStyle w:val="InternetLink"/>
                  <w:rFonts w:ascii="Times New Roman" w:hAnsi="Times New Roman"/>
                  <w:sz w:val="20"/>
                </w:rPr>
                <w:t>Item 1A. Risk Factors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8">
              <w:r>
                <w:rPr>
                  <w:rStyle w:val="InternetLink"/>
                  <w:rFonts w:ascii="Times New Roman" w:hAnsi="Times New Roman"/>
                  <w:sz w:val="20"/>
                </w:rPr>
                <w:t>Item 2. 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19">
              <w:r>
                <w:rPr>
                  <w:rStyle w:val="InternetLink"/>
                  <w:rFonts w:ascii="Times New Roman" w:hAnsi="Times New Roman"/>
                  <w:sz w:val="20"/>
                </w:rPr>
                <w:t>Item 3. Defaults Upon Senior Securities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20">
              <w:r>
                <w:rPr>
                  <w:rStyle w:val="InternetLink"/>
                  <w:rFonts w:ascii="Times New Roman" w:hAnsi="Times New Roman"/>
                  <w:sz w:val="20"/>
                </w:rPr>
                <w:t>Item 4. Mine Safety Disclosures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21">
              <w:r>
                <w:rPr>
                  <w:rStyle w:val="InternetLink"/>
                  <w:rFonts w:ascii="Times New Roman" w:hAnsi="Times New Roman"/>
                  <w:sz w:val="20"/>
                </w:rPr>
                <w:t>Item 5. Other Information</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22">
              <w:r>
                <w:rPr>
                  <w:rStyle w:val="InternetLink"/>
                  <w:rFonts w:ascii="Times New Roman" w:hAnsi="Times New Roman"/>
                  <w:sz w:val="20"/>
                </w:rPr>
                <w:t>Item 6. Exhibits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525" w:type="dxa"/>
            <w:tcBorders/>
            <w:vAlign w:val="center"/>
          </w:tcPr>
          <w:p>
            <w:pPr>
              <w:pStyle w:val="TableContents"/>
              <w:bidi w:val="0"/>
              <w:spacing w:before="0" w:after="0"/>
              <w:jc w:val="left"/>
              <w:rPr/>
            </w:pPr>
            <w:hyperlink w:anchor="toc27005_23">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27005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“Quarterly Report”) contains forward-looking statements for purposes of the safe harbor provisions under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facts contained in this Quarterly Report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press release in the context of the risks and uncertainties disclosed herein, in our Annual Report on Form 10-K, including “Risk Factors” and “Management’s Discussion and Analysis of Financial Condition and Results of Operations,” and our other filings with the Securities and Exchange Commission (the “SEC”), accessible on the SEC’s website at www.sec.gov and the Investors Relations section of the Company’s website at https://investors.solvenergy.com/financial-information/sec-filings. Important factors that could cause actual results to differ materially from those in the forward-looking statements include regional, national or global political, economic, business, competitive, market and regulatory conditions and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additional duties and tariffs and other trade barriers and retaliatory countermeasures implemented by the U.S. and other governments;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may vary significantly from quarter to quarter;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labor-intensive, and we may be unable to attract and retain qualified employees or we may incur significant costs in the event we are unable to efficiently manage our workforce or the cost of labor increases;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or reduction in business from, certain significant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Many of our contracts may be canceled or suspended on short notice or may not be renewed upon completion or expiration, and we may be unsuccessful in replacing our contracts;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recover on contract modifications against project owners for payment or performance;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business exposes us to potential liability for warranty, engineering and other 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ordinary course of our business, we are subject to lawsuits, claims and other legal proceedings, as well as bonding claims and related reimbursement requirements;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and if our remediation of the material weaknesses is not effective, or if we otherwise fail to maintain effective internal control over financial reporting in the future, we may not be able to accurately or timely report our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deterioration in the quality or reputation of our brands, which can be exacerbated by the effect of social media or significant media coverage;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our inability to attract or keep, key personnel could disrupt our business;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our acquisition strategy;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compete for projects if we are not able to obtain surety bonds, letters of credit or bank guarantees;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generally paid in arrears for our services and may enter into other arrangements with certain of our customers, which could subject us to potential credit or investment risk and the risk of client defaults;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and claims expenses, as well as the unavailability or cancellation of third-party insurance coverage;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are subject to physical risks including those associated with climate 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various stakeholders with respect to corporate sustainability practices may impose additional costs on us or expose us to reputational or other risks;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unionized workforce and related obligations;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protect or enforce our rights in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intellectual property rights claims by third parties, which are extremely costly to defend, could require us to pay significant damages and could limit our ability to use certain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artificial intelligence technologies in our business, and the deployment, use, and maintenance of these technologies involve significant technological and legal risks;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macroeconomic conditions and industry-specific market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w:t>
            </w:r>
            <w:r>
              <w:rPr>
                <w:rFonts w:ascii="Times New Roman" w:hAnsi="Times New Roman"/>
                <w:i/>
                <w:sz w:val="20"/>
              </w:rPr>
              <w:t>e.g.</w:t>
            </w:r>
            <w:r>
              <w:rPr>
                <w:rFonts w:ascii="Times New Roman" w:hAnsi="Times New Roman"/>
                <w:sz w:val="20"/>
              </w:rPr>
              <w:t xml:space="preserve">, wildfires, weather-related events or pandemics), deterioration of global or specific trade relationships, or acts of war, including but not limited to conflicts in the Middle East, geopolitical conflicts and political unrest;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revenues and profitability can be negatively impacted if our customers encounter financial difficulties or file for bankruptcy or disputes arise with our customers;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our business;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advancements in other forms of power generation could negatively affect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unavailability, reduction or elimination of government and economic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federal, state and other environmental, health and safety laws and regulations that could adversely affect the cost, manner or feasibility of conducting our operations or expose us to significant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specific regulatory regimes and requirements that could result in significant compliance costs and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actual or perceived failure to comply with new or existing laws, regulations or other requirements relating to the privacy, security and processing of personal information;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our tax estimates or positions;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anti-bribery and/or international trade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Violations of export control and/or economic sanctions laws and regulations to which we are subject and changes to U.S. foreign trade and tariff policies;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Immigration laws, including our inability to verify employment eligibility;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variable rate indebtedness subjects us to interest rate risk, which could cause our debt service obligations to increase significantly;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covenants contained in the credit agreement could result in an event of default that could cause repayment of our debt to be accelerated;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incur substantial additional indebtedness in the future and may not be able to generate sufficient cash to service such indebtedness, and may be forced to take other actions to satisfy our obligations under such indebtedness, which may not be successful; and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that are required in order to operate as a public company could be material.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For the reasons described above, we caution you against relying on any forward-looking statements, which should also be read in conjunction with the other cautionary statements that are included elsewhere in this Quarterly Report, our most recent Annual Report on Form 10-K and our other filings with the SEC. Any forward-looking statement made by us in this Quarterly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480" w:after="0"/>
        <w:jc w:val="center"/>
        <w:rPr>
          <w:rFonts w:ascii="Times New Roman" w:hAnsi="Times New Roman"/>
          <w:b/>
          <w:sz w:val="20"/>
        </w:rPr>
      </w:pPr>
      <w:bookmarkStart w:id="4" w:name="toc27005_2"/>
      <w:bookmarkEnd w:id="4"/>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or the context requires otherwise in this Quarterly Report, all references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American Securities” or “Sponsor” refers to American Securities LLC, a private equity firm, and affiliated funds managed by American Securities.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r>
              <w:rPr/>
              <w:t>“</w:t>
            </w:r>
            <w:r>
              <w:rPr>
                <w:rFonts w:ascii="Times New Roman" w:hAnsi="Times New Roman"/>
                <w:sz w:val="20"/>
              </w:rPr>
              <w:t xml:space="preserve">Blocker Companies” refers to ASP VIII SOLV LP and ASP VIII CSE 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Blocker Shareholders” refers collectively to the owners of the Blocker Companies prior to the acquisition of the Blocker Companies by SOLV Energy, Inc., who exchanged their interests in the Blocker Companies for shares of our Class A common stock in connection with the consummation of the Transactions, and includes any aggregator vehicle to which such owners contribute such shares of Class A common stock in connection with the consummation of the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Continuing Equity Owners” refers collectively to direct and indirect holders of LLC Interests and our Class B common stock immediately following consummation of the Transactions, including American Securities, Management Holders and other minority investors and their respective permitted transferees who may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EPC” refers to engineering, procurement and construction, a type of contracting where the contractor performs design and engineering services for the project, procures key equipment used in the project and builds the project, such as a solar power plant.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pPr>
            <w:r>
              <w:rPr/>
              <w:t>“</w:t>
            </w:r>
            <w:r>
              <w:rPr>
                <w:rFonts w:ascii="Times New Roman" w:hAnsi="Times New Roman"/>
                <w:sz w:val="20"/>
              </w:rPr>
              <w:t xml:space="preserve">Exchange Act” refers to the Securities Exchange Act of 1934,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Holdco Term Loan Credit Agreement” refers to that certain Amended and Restated Credit Agreement, dated as of October 7, 2024, among SOLV Energy Holdings LLC, Wilmington Trust, National Association (or any of its designated branch offices or affiliates), as administrative agent for the secured parties, and the lenders from time to time party thereto, as amended on January 9, 2025 by that certain Amendment No. 1 to Amended and Restated Credit Agreement (“Amendment No. 1 to the Holdco Term Loan Credit Agreement”), among SOLV Energy Holdings LLC, Wilmington Trust, National Association (or any of its designated branch offices or affiliates), as administrative agent for the secured parties, and the lenders from time to time party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IPO” refers to our initial public offering, which we completed on February 12, 2026, and through which we offered and sold 23,575,000 shares of our Class A common stock at a price to the public of $25.00 per share, which includes the exercise in full by the underwriters of their option to purchase an additional 3,075,000 shares of our Class A common stock. The gross proceeds to us from the IPO were $589.4 million, before deducting underwriting discounts.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pPr>
            <w:r>
              <w:rPr/>
              <w:t>“</w:t>
            </w:r>
            <w:r>
              <w:rPr>
                <w:rFonts w:ascii="Times New Roman" w:hAnsi="Times New Roman"/>
                <w:sz w:val="20"/>
              </w:rPr>
              <w:t xml:space="preserve">LLC Interests” refers to the common units of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Holders” refers to the executive officers of SOLV Energy, Inc. and other employees, former employees and other service providers of SOLV Energy, Inc. and its direct and indirect subsidiaries who are limited partners of Management Holdings.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Management Holdings” refers to SOLV Energy Management Holdings LP, which is an affiliate of, and controlled by, American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New Revolving Credit Facility” refers to the $200.0 million revolving credit facility available under that certain Credit Agreement, dated as of February 12, 2026, by and among SOLV Energy Acquisition LLC, SOLV Energy Intermediate Holdings LLC, the lenders party thereto and KeyBank National Association, as administrative agent, which facility matures on February 12, 2031.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pPr>
            <w:r>
              <w:rPr/>
              <w:t>“</w:t>
            </w:r>
            <w:r>
              <w:rPr>
                <w:rFonts w:ascii="Times New Roman" w:hAnsi="Times New Roman"/>
                <w:sz w:val="20"/>
              </w:rPr>
              <w:t xml:space="preserve">O&amp;M” refers to operations and maintenance.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Prior Credit Facilities” refers to the Prior Revolving Facility and the Term Loans. The Prior Credit Facilities were repaid and terminated in connection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Prior Revolving Facility” refers to the $90,000,000 revolving credit facility available under that certain Credit Agreement, dated as of December 23, 2021 (as amended, restated, amended and restated, supplemented or otherwise modified from time to time), by and among SOLV Energy Acquisition LLC, SOLV Energy Parent LLC (f/k/a AS Renewable Technologies Intermediate LLC), SOLV Energy Intermediate Holdings LLC (f/k/a AS Renewable Technologies Intermediate II LLC), the lenders party thereto and KeyBank National Association, as administrative agent. The Prior Revolving Facility was terminated in connection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PV” refers to photovoltaic, i.e., the conversion of light into electricity using semiconducting materials, such as solar cells.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SOLV,” the “Company,” “our company,” “we,” “us” and “our” refer to SOLV Energy, Inc. and its subsidiaries, including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SOLV Energy Holdings LLC Agreement” refers to SOLV Energy Holdings LLC’s amended and restated limited liability company agreement.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pPr>
            <w:r>
              <w:rPr/>
              <w:t>“</w:t>
            </w:r>
            <w:r>
              <w:rPr>
                <w:rFonts w:ascii="Times New Roman" w:hAnsi="Times New Roman"/>
                <w:sz w:val="20"/>
              </w:rPr>
              <w:t xml:space="preserve">Swinerton” refers to Swinerton Incorporated, our former parent.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pPr>
            <w:r>
              <w:rPr/>
              <w:t>“</w:t>
            </w:r>
            <w:r>
              <w:rPr>
                <w:rFonts w:ascii="Times New Roman" w:hAnsi="Times New Roman"/>
                <w:sz w:val="20"/>
              </w:rPr>
              <w:t xml:space="preserve">T&amp;D” refers to transmission and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Tax Receivable Agreement” refers to the Tax Receivable Agreement, dated February 10, 2026, entered into by and among SOLV Energy, Inc., SOLV Energy Holdings LLC, the Continuing Equity Owners, the Blocker Shareholders and the other persons from time to time that may become a party thereto (collectively, the “TRA Participants”) in connection with the IPO, pursuant to which, among other things, SOLV Energy, Inc. is required to pay to the TRA Participants 85% of the tax benefits, if any, that it realizes, or is deemed to realize, as a result of certain tax benefits covered by the Tax Receivable Agreement as described in “Item 13. Certain Relationships and Related Transactions, and Director Independence—Tax Receivable Agreement” in our Annual Report on Form 10-K for the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Term Loans” refers to (i) the initial term loans made to SOLV Energy Holdings LLC pursuant to the Holdco Term Loan Credit Agreement, in an original principal amount of $373,687,500, and (ii) the incremental term loans made to SOLV Energy Holdings LLC pursuant to Amendment No. 1 to the Holdco Term Loan Credit Agreement, in an original principal amount of $32,500,000. In connection with the IPO, the Term Loans were repaid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Transactions” refers to the reorganizational transactions, the redemption of units held by a minority investor, the IPO and the application of the net proceeds therefrom. </w:t>
            </w:r>
          </w:p>
        </w:tc>
      </w:tr>
    </w:tbl>
    <w:p>
      <w:pPr>
        <w:pStyle w:val="TextBody"/>
        <w:bidi w:val="0"/>
        <w:spacing w:before="480" w:after="0"/>
        <w:jc w:val="center"/>
        <w:rPr>
          <w:rFonts w:ascii="Times New Roman" w:hAnsi="Times New Roman"/>
          <w:b/>
          <w:sz w:val="20"/>
        </w:rPr>
      </w:pPr>
      <w:bookmarkStart w:id="5" w:name="toc27005_3"/>
      <w:bookmarkEnd w:id="5"/>
      <w:r>
        <w:rPr>
          <w:rFonts w:ascii="Times New Roman" w:hAnsi="Times New Roman"/>
          <w:b/>
          <w:sz w:val="20"/>
        </w:rPr>
        <w:t xml:space="preserve">Presentation of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includes certain historical consolidated financial information and other data for SOLV Energy Holdings LLC. Concurrent with the completion of the IPO, SOLV Energy, Inc. became the new parent holding company of SOLV Energy Holdings LLC and its subsidiaries. As SOLV Energy, Inc. did not have any previous operations prior to the IPO, SOLV Energy Holdings LLC is viewed as the accounting predecessor of SOLV Energy, Inc.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Quarterly Report have been subject to rounding adjustments. Percentage amounts included in this Quarterly Report have not in all cases been calculated on the basis of such rounded figures, but on the basis of such amounts prior to rounding. For this reason, percentage amounts in this Quarterly Report may vary from those obtained by performing the same calculations using the figures in our consolidated financial statements included elsewhere in this Quarterly Report. Certain other amounts that appear in this Quarterly Report may not sum due to rounding. </w:t>
      </w:r>
    </w:p>
    <w:p>
      <w:pPr>
        <w:pStyle w:val="TextBody"/>
        <w:bidi w:val="0"/>
        <w:spacing w:before="480" w:after="0"/>
        <w:jc w:val="center"/>
        <w:rPr>
          <w:rFonts w:ascii="Times New Roman" w:hAnsi="Times New Roman"/>
          <w:b/>
          <w:sz w:val="20"/>
        </w:rPr>
      </w:pPr>
      <w:bookmarkStart w:id="6" w:name="toc27005_4"/>
      <w:bookmarkEnd w:id="6"/>
      <w:r>
        <w:rPr>
          <w:rFonts w:ascii="Times New Roman" w:hAnsi="Times New Roman"/>
          <w:b/>
          <w:sz w:val="20"/>
        </w:rPr>
        <w:t xml:space="preserve">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was formed on April 1, 2025 and was the issuer of the Class A common stock in the IPO. Prior to the IPO, all of our business operations were conducted through SOLV Energy Holdings LLC and its direct and indirect subsidiaries. Prior to the Transactions, SOLV Energy Parent Holdings LP was the sole holder of common stock of SOLV Energy, Inc. In connection with the IPO, we consummated the following organizational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the limited liability company agreement of SOLV Energy Holdings LLC to, among other things, (i) recapitalize all of the ownership interests in SOLV Energy Holdings LLC into LLC Interests and (ii) appoint a wholly-owned subsidiary of SOLV Energy, Inc. as the sole managing member of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our certificate of incorporation to, among other things, provide for (i) Class A common stock, with each share of our Class A common stock entitling its holder to one vote per share on all matters presented to our stockholders generally and (ii)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SOLV Energy Parent Holdings LP was liquidated by distributing LLC Interests and nominal cash to the Continuing Equity Owners and merging into SOLV Energy Holdings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acquired, directly and indirectly, LLC Interests held by certain of the Continuing Equity Owners, by means of one or more contributions in exchange for 91,773,571 shares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issued 87,141,865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Blocker Shareholders contributed their equity interests in the Blocker Companies to SOLV Energy, Inc. in exchange for shares of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issued 23,575,000 shares of our Class A common stock to the purchasers in the IPO (including 3,075,000 shares after the underwriters exercised in full their option to purchase additional shares of Class A common stock) in exchange for net proceeds of approximately $552.5 million based upon an IPO price of $25.00 per share, less the underwriting discounts and commissions;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used the net proceeds from the IPO to purchase 23,575,000 newly issued LLC Interests from SOLV Energy Holdings LLC at a price per unit equal to the IPO price, less the underwriting discounts and commissions;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caused SOLV Energy Holdings LLC to use the net proceeds from the sale of LLC Interests to SOLV Energy, Inc. to repay in full approximately $405.6 million of amounts due upon repayment under the Term Loans, and, with respect to the remainder, for general corporate purposes, which could include growth initiatives, including potential merger and acquisition opportunities; and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entered into the Tax Receivable Agreement with SOLV Energy Holdings LLC and each of the TRA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PART I.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ITEM 1.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SOLV Energy,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share and per share amounts, unaudited)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184"/>
        <w:gridCol w:w="120"/>
        <w:gridCol w:w="140"/>
        <w:gridCol w:w="980"/>
        <w:gridCol w:w="155"/>
        <w:gridCol w:w="60"/>
        <w:gridCol w:w="173"/>
        <w:gridCol w:w="1221"/>
        <w:gridCol w:w="172"/>
      </w:tblGrid>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8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2" w:type="dxa"/>
            <w:tcBorders/>
            <w:vAlign w:val="center"/>
          </w:tcPr>
          <w:p>
            <w:pPr>
              <w:pStyle w:val="TableContents"/>
              <w:bidi w:val="0"/>
              <w:spacing w:before="0" w:after="0"/>
              <w:jc w:val="left"/>
              <w:rPr>
                <w:spacing w:val="0"/>
              </w:rPr>
            </w:pPr>
            <w:r>
              <w:rPr>
                <w:spacing w:val="0"/>
              </w:rPr>
              <w:t> </w:t>
            </w:r>
          </w:p>
        </w:tc>
      </w:tr>
      <w:tr>
        <w:trPr/>
        <w:tc>
          <w:tcPr>
            <w:tcW w:w="7184"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0"/>
              <w:jc w:val="left"/>
              <w:rPr>
                <w:spacing w:val="0"/>
              </w:rPr>
            </w:pPr>
            <w:r>
              <w:rPr>
                <w:spacing w:val="0"/>
              </w:rPr>
              <w:t> </w:t>
            </w:r>
          </w:p>
        </w:tc>
      </w:tr>
      <w:tr>
        <w:trPr/>
        <w:tc>
          <w:tcPr>
            <w:tcW w:w="718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384,911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before="0" w:after="283"/>
              <w:jc w:val="right"/>
              <w:rPr/>
            </w:pPr>
            <w:r>
              <w:rPr/>
              <w:t>394,876</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285,039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269,044</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157,875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156,744</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17,734</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105,528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60,887</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946,650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899,285</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116,137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106,383</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8,010</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429,035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429,279</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347,511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362,390</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10,925</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spacing w:val="0"/>
              </w:rPr>
            </w:pPr>
            <w:r>
              <w:rPr>
                <w:b/>
                <w:spacing w:val="0"/>
              </w:rPr>
              <w:t>$</w:t>
            </w:r>
          </w:p>
        </w:tc>
        <w:tc>
          <w:tcPr>
            <w:tcW w:w="980" w:type="dxa"/>
            <w:tcBorders/>
            <w:vAlign w:val="center"/>
          </w:tcPr>
          <w:p>
            <w:pPr>
              <w:pStyle w:val="TableContents"/>
              <w:bidi w:val="0"/>
              <w:spacing w:before="0" w:after="0"/>
              <w:jc w:val="right"/>
              <w:rPr>
                <w:b/>
                <w:spacing w:val="0"/>
              </w:rPr>
            </w:pPr>
            <w:r>
              <w:rPr>
                <w:b/>
                <w:spacing w:val="0"/>
              </w:rPr>
              <w:t>1,956,606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
                <w:spacing w:val="0"/>
              </w:rPr>
            </w:pPr>
            <w:r>
              <w:rPr>
                <w:b/>
                <w:spacing w:val="0"/>
              </w:rPr>
              <w:t>$</w:t>
            </w:r>
          </w:p>
        </w:tc>
        <w:tc>
          <w:tcPr>
            <w:tcW w:w="1221" w:type="dxa"/>
            <w:tcBorders/>
            <w:vAlign w:val="center"/>
          </w:tcPr>
          <w:p>
            <w:pPr>
              <w:pStyle w:val="TableContents"/>
              <w:bidi w:val="0"/>
              <w:spacing w:before="0" w:after="0"/>
              <w:jc w:val="right"/>
              <w:rPr>
                <w:b/>
                <w:spacing w:val="0"/>
              </w:rPr>
            </w:pPr>
            <w:r>
              <w:rPr>
                <w:b/>
                <w:spacing w:val="0"/>
              </w:rPr>
              <w:t>1,816,272</w:t>
            </w:r>
          </w:p>
        </w:tc>
        <w:tc>
          <w:tcPr>
            <w:tcW w:w="172" w:type="dxa"/>
            <w:tcBorders/>
            <w:vAlign w:val="center"/>
          </w:tcPr>
          <w:p>
            <w:pPr>
              <w:pStyle w:val="TableContents"/>
              <w:bidi w:val="0"/>
              <w:spacing w:before="0" w:after="0"/>
              <w:jc w:val="left"/>
              <w:rPr>
                <w:spacing w:val="0"/>
              </w:rPr>
            </w:pPr>
            <w:r>
              <w:rPr>
                <w:spacing w:val="0"/>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524,898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before="0" w:after="283"/>
              <w:jc w:val="right"/>
              <w:rPr/>
            </w:pPr>
            <w:r>
              <w:rPr/>
              <w:t>562,218</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346,295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308,619</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6,526</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12,978</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2,498</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892,271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892,839</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391,988</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21,317</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36,559</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receivable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172,344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18,344</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1,145,382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1,361,047</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8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550,334</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1,250,000,000 shares authorized, 115,348,571 shares issued and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100,000,000 shares authorized, 87,128,137 shares issued and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455,857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(98,139</w:t>
            </w:r>
          </w:p>
        </w:tc>
        <w:tc>
          <w:tcPr>
            <w:tcW w:w="172" w:type="dxa"/>
            <w:tcBorders/>
            <w:shd w:fill="CCEEFF" w:val="clear"/>
            <w:vAlign w:val="center"/>
          </w:tcPr>
          <w:p>
            <w:pPr>
              <w:pStyle w:val="TableContents"/>
              <w:bidi w:val="0"/>
              <w:spacing w:before="0" w:after="283"/>
              <w:jc w:val="left"/>
              <w:rPr/>
            </w:pPr>
            <w:r>
              <w:rPr/>
              <w:t>)</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 to SOLV Energy,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spacing w:val="0"/>
              </w:rPr>
            </w:pPr>
            <w:r>
              <w:rPr>
                <w:spacing w:val="0"/>
              </w:rPr>
              <w:t>432,520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(98,139</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378,704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3,030</w:t>
            </w:r>
          </w:p>
        </w:tc>
        <w:tc>
          <w:tcPr>
            <w:tcW w:w="172" w:type="dxa"/>
            <w:tcBorders/>
            <w:shd w:fill="CCEEFF" w:val="clear"/>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members’/stockholders’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811,224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455,225</w:t>
            </w:r>
          </w:p>
        </w:tc>
        <w:tc>
          <w:tcPr>
            <w:tcW w:w="172" w:type="dxa"/>
            <w:tcBorders/>
            <w:vAlign w:val="center"/>
          </w:tcPr>
          <w:p>
            <w:pPr>
              <w:pStyle w:val="TableContents"/>
              <w:bidi w:val="0"/>
              <w:spacing w:before="0" w:after="283"/>
              <w:jc w:val="left"/>
              <w:rPr/>
            </w:pPr>
            <w:r>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8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1,956,606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0"/>
              <w:jc w:val="left"/>
              <w:rPr>
                <w:b/>
                <w:spacing w:val="0"/>
              </w:rPr>
            </w:pPr>
            <w:r>
              <w:rPr>
                <w:b/>
                <w:spacing w:val="0"/>
              </w:rPr>
              <w:t>$</w:t>
            </w:r>
          </w:p>
        </w:tc>
        <w:tc>
          <w:tcPr>
            <w:tcW w:w="1221" w:type="dxa"/>
            <w:tcBorders/>
            <w:shd w:fill="CCEEFF" w:val="clear"/>
            <w:vAlign w:val="center"/>
          </w:tcPr>
          <w:p>
            <w:pPr>
              <w:pStyle w:val="TableContents"/>
              <w:bidi w:val="0"/>
              <w:spacing w:before="0" w:after="0"/>
              <w:jc w:val="right"/>
              <w:rPr>
                <w:b/>
                <w:spacing w:val="0"/>
              </w:rPr>
            </w:pPr>
            <w:r>
              <w:rPr>
                <w:b/>
                <w:spacing w:val="0"/>
              </w:rPr>
              <w:t>1,816,272</w:t>
            </w:r>
          </w:p>
        </w:tc>
        <w:tc>
          <w:tcPr>
            <w:tcW w:w="172" w:type="dxa"/>
            <w:tcBorders/>
            <w:shd w:fill="CCEEFF" w:val="clear"/>
            <w:vAlign w:val="center"/>
          </w:tcPr>
          <w:p>
            <w:pPr>
              <w:pStyle w:val="TableContents"/>
              <w:bidi w:val="0"/>
              <w:spacing w:before="0" w:after="0"/>
              <w:jc w:val="left"/>
              <w:rPr>
                <w:spacing w:val="0"/>
              </w:rPr>
            </w:pPr>
            <w:r>
              <w:rPr>
                <w:spacing w:val="0"/>
              </w:rPr>
              <w:t> </w:t>
            </w:r>
          </w:p>
        </w:tc>
      </w:tr>
      <w:tr>
        <w:trPr/>
        <w:tc>
          <w:tcPr>
            <w:tcW w:w="71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share and per share amounts, unaudited) </w:t>
      </w:r>
    </w:p>
    <w:p>
      <w:pPr>
        <w:pStyle w:val="TextBody"/>
        <w:bidi w:val="0"/>
        <w:spacing w:before="0" w:after="0"/>
        <w:jc w:val="left"/>
        <w:rPr/>
      </w:pPr>
      <w:r>
        <w:rPr/>
        <w:t> </w:t>
      </w:r>
    </w:p>
    <w:tbl>
      <w:tblPr>
        <w:tblW w:w="9210" w:type="dxa"/>
        <w:jc w:val="left"/>
        <w:tblInd w:w="0" w:type="dxa"/>
        <w:tblLayout w:type="fixed"/>
        <w:tblCellMar>
          <w:top w:w="0" w:type="dxa"/>
          <w:left w:w="0" w:type="dxa"/>
          <w:bottom w:w="0" w:type="dxa"/>
          <w:right w:w="0" w:type="dxa"/>
        </w:tblCellMar>
      </w:tblPr>
      <w:tblGrid>
        <w:gridCol w:w="5480"/>
        <w:gridCol w:w="120"/>
        <w:gridCol w:w="190"/>
        <w:gridCol w:w="1668"/>
        <w:gridCol w:w="211"/>
        <w:gridCol w:w="81"/>
        <w:gridCol w:w="190"/>
        <w:gridCol w:w="1100"/>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668" w:type="dxa"/>
            <w:tcBorders/>
            <w:shd w:fill="CCEEFF" w:val="clear"/>
            <w:vAlign w:val="center"/>
          </w:tcPr>
          <w:p>
            <w:pPr>
              <w:pStyle w:val="TableContents"/>
              <w:bidi w:val="0"/>
              <w:spacing w:before="0" w:after="283"/>
              <w:jc w:val="right"/>
              <w:rPr/>
            </w:pPr>
            <w:r>
              <w:rPr/>
              <w:t>676,805</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407,847</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557,732</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348,748</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119,073</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59,099</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Selling, general and administrative expenses (including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compensation expense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59,560</w:t>
            </w:r>
          </w:p>
          <w:p>
            <w:pPr>
              <w:pStyle w:val="TableContents"/>
              <w:bidi w:val="0"/>
              <w:spacing w:before="0" w:after="0"/>
              <w:jc w:val="left"/>
              <w:rPr>
                <w:rFonts w:ascii="Times New Roman" w:hAnsi="Times New Roman"/>
                <w:sz w:val="20"/>
              </w:rPr>
            </w:pPr>
            <w:r>
              <w:rPr>
                <w:rFonts w:ascii="Times New Roman" w:hAnsi="Times New Roman"/>
                <w:sz w:val="20"/>
              </w:rPr>
              <w:t>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712</w:t>
            </w:r>
          </w:p>
          <w:p>
            <w:pPr>
              <w:pStyle w:val="TableContents"/>
              <w:bidi w:val="0"/>
              <w:spacing w:before="0" w:after="0"/>
              <w:jc w:val="left"/>
              <w:rPr>
                <w:rFonts w:ascii="Times New Roman" w:hAnsi="Times New Roman"/>
                <w:sz w:val="20"/>
              </w:rPr>
            </w:pPr>
            <w:r>
              <w:rPr>
                <w:rFonts w:ascii="Times New Roman" w:hAnsi="Times New Roman"/>
                <w:sz w:val="20"/>
              </w:rPr>
              <w:t>for the three months ended March 31, 2026 and 2025, respectively)</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111,375</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36,070</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14,879</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13,768</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126,254</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49,838</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(7,181</w:t>
            </w:r>
          </w:p>
        </w:tc>
        <w:tc>
          <w:tcPr>
            <w:tcW w:w="211"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9,261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10,688</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6,897</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12,691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(1,450</w:t>
            </w:r>
          </w:p>
        </w:tc>
        <w:tc>
          <w:tcPr>
            <w:tcW w:w="211" w:type="dxa"/>
            <w:tcBorders/>
            <w:vAlign w:val="center"/>
          </w:tcPr>
          <w:p>
            <w:pPr>
              <w:pStyle w:val="TableContents"/>
              <w:bidi w:val="0"/>
              <w:spacing w:before="0" w:after="283"/>
              <w:jc w:val="left"/>
              <w:rPr/>
            </w:pPr>
            <w:r>
              <w:rPr/>
              <w:t>)</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(3,272</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(68</w:t>
            </w:r>
          </w:p>
        </w:tc>
        <w:tc>
          <w:tcPr>
            <w:tcW w:w="211"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(23,248</w:t>
            </w:r>
          </w:p>
        </w:tc>
        <w:tc>
          <w:tcPr>
            <w:tcW w:w="211" w:type="dxa"/>
            <w:tcBorders/>
            <w:vAlign w:val="center"/>
          </w:tcPr>
          <w:p>
            <w:pPr>
              <w:pStyle w:val="TableContents"/>
              <w:bidi w:val="0"/>
              <w:spacing w:before="0" w:after="283"/>
              <w:jc w:val="left"/>
              <w:rPr/>
            </w:pPr>
            <w:r>
              <w:rPr/>
              <w:t>)</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(240</w:t>
            </w:r>
          </w:p>
        </w:tc>
        <w:tc>
          <w:tcPr>
            <w:tcW w:w="17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4,166</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668" w:type="dxa"/>
            <w:tcBorders/>
            <w:vAlign w:val="center"/>
          </w:tcPr>
          <w:p>
            <w:pPr>
              <w:pStyle w:val="TableContents"/>
              <w:bidi w:val="0"/>
              <w:spacing w:before="0" w:after="283"/>
              <w:jc w:val="right"/>
              <w:rPr/>
            </w:pPr>
            <w:r>
              <w:rPr/>
              <w:t>(27,414</w:t>
            </w:r>
          </w:p>
        </w:tc>
        <w:tc>
          <w:tcPr>
            <w:tcW w:w="211" w:type="dxa"/>
            <w:tcBorders/>
            <w:vAlign w:val="center"/>
          </w:tcPr>
          <w:p>
            <w:pPr>
              <w:pStyle w:val="TableContents"/>
              <w:bidi w:val="0"/>
              <w:spacing w:before="0" w:after="283"/>
              <w:jc w:val="left"/>
              <w:rPr/>
            </w:pPr>
            <w:r>
              <w:rPr/>
              <w:t>)</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(502</w:t>
            </w:r>
          </w:p>
        </w:tc>
        <w:tc>
          <w:tcPr>
            <w:tcW w:w="17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net income (loss)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and LLC members prior to IPO</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(4,056</w:t>
            </w:r>
          </w:p>
        </w:tc>
        <w:tc>
          <w:tcPr>
            <w:tcW w:w="211"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212</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6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SOLV Energy, Inc.</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
                <w:spacing w:val="0"/>
              </w:rPr>
            </w:pPr>
            <w:r>
              <w:rPr>
                <w:b/>
                <w:spacing w:val="0"/>
              </w:rPr>
              <w:t>$</w:t>
            </w:r>
          </w:p>
        </w:tc>
        <w:tc>
          <w:tcPr>
            <w:tcW w:w="1668" w:type="dxa"/>
            <w:tcBorders/>
            <w:vAlign w:val="center"/>
          </w:tcPr>
          <w:p>
            <w:pPr>
              <w:pStyle w:val="TableContents"/>
              <w:bidi w:val="0"/>
              <w:spacing w:before="0" w:after="0"/>
              <w:jc w:val="right"/>
              <w:rPr>
                <w:b/>
                <w:spacing w:val="0"/>
              </w:rPr>
            </w:pPr>
            <w:r>
              <w:rPr>
                <w:b/>
                <w:spacing w:val="0"/>
              </w:rPr>
              <w:t>(23,358</w:t>
            </w:r>
          </w:p>
        </w:tc>
        <w:tc>
          <w:tcPr>
            <w:tcW w:w="211" w:type="dxa"/>
            <w:tcBorders/>
            <w:vAlign w:val="center"/>
          </w:tcPr>
          <w:p>
            <w:pPr>
              <w:pStyle w:val="TableContents"/>
              <w:bidi w:val="0"/>
              <w:spacing w:before="0" w:after="0"/>
              <w:jc w:val="left"/>
              <w:rPr>
                <w:b/>
                <w:spacing w:val="0"/>
              </w:rPr>
            </w:pPr>
            <w:r>
              <w:rPr>
                <w:b/>
                <w:spacing w:val="0"/>
              </w:rPr>
              <w:t>)</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
                <w:spacing w:val="0"/>
              </w:rPr>
            </w:pPr>
            <w:r>
              <w:rPr>
                <w:b/>
                <w:spacing w:val="0"/>
              </w:rPr>
              <w:t>$</w:t>
            </w:r>
          </w:p>
        </w:tc>
        <w:tc>
          <w:tcPr>
            <w:tcW w:w="1100" w:type="dxa"/>
            <w:tcBorders/>
            <w:vAlign w:val="center"/>
          </w:tcPr>
          <w:p>
            <w:pPr>
              <w:pStyle w:val="TableContents"/>
              <w:bidi w:val="0"/>
              <w:spacing w:before="0" w:after="0"/>
              <w:jc w:val="right"/>
              <w:rPr>
                <w:b/>
                <w:spacing w:val="0"/>
              </w:rPr>
            </w:pPr>
            <w:r>
              <w:rPr>
                <w:b/>
                <w:spacing w:val="0"/>
              </w:rPr>
              <w:t>(714</w:t>
            </w:r>
          </w:p>
        </w:tc>
        <w:tc>
          <w:tcPr>
            <w:tcW w:w="170" w:type="dxa"/>
            <w:tcBorders/>
            <w:vAlign w:val="center"/>
          </w:tcPr>
          <w:p>
            <w:pPr>
              <w:pStyle w:val="TableContents"/>
              <w:bidi w:val="0"/>
              <w:spacing w:before="0" w:after="0"/>
              <w:jc w:val="left"/>
              <w:rPr>
                <w:b/>
                <w:spacing w:val="0"/>
              </w:rPr>
            </w:pPr>
            <w:r>
              <w:rPr>
                <w:b/>
                <w:spacing w:val="0"/>
              </w:rPr>
              <w:t>)</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668" w:type="dxa"/>
            <w:tcBorders/>
            <w:vAlign w:val="center"/>
          </w:tcPr>
          <w:p>
            <w:pPr>
              <w:pStyle w:val="TableContents"/>
              <w:bidi w:val="0"/>
              <w:spacing w:before="0" w:after="0"/>
              <w:jc w:val="left"/>
              <w:rPr>
                <w:bdr w:val="double" w:sz="6" w:space="1" w:color="000000"/>
              </w:rPr>
            </w:pPr>
            <w:r>
              <w:rPr>
                <w:bdr w:val="double" w:sz="6"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3730" w:type="dxa"/>
            <w:gridSpan w:val="8"/>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40" w:type="dxa"/>
            <w:gridSpan w:val="6"/>
            <w:tcBorders/>
            <w:vAlign w:val="center"/>
          </w:tcPr>
          <w:p>
            <w:pPr>
              <w:pStyle w:val="TableContents"/>
              <w:bidi w:val="0"/>
              <w:spacing w:before="0" w:after="0"/>
              <w:jc w:val="center"/>
              <w:rPr>
                <w:b/>
                <w:spacing w:val="0"/>
              </w:rPr>
            </w:pPr>
            <w:r>
              <w:rPr>
                <w:b/>
                <w:spacing w:val="0"/>
              </w:rPr>
              <w:t>Period from February 12, 2026 to</w:t>
              <w:br/>
              <w:t>March 31, 2026</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668"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668" w:type="dxa"/>
            <w:tcBorders/>
            <w:vAlign w:val="center"/>
          </w:tcPr>
          <w:p>
            <w:pPr>
              <w:pStyle w:val="TableContents"/>
              <w:bidi w:val="0"/>
              <w:spacing w:before="0" w:after="283"/>
              <w:jc w:val="right"/>
              <w:rPr/>
            </w:pPr>
            <w:r>
              <w:rPr/>
              <w:t>(0.20</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668" w:type="dxa"/>
            <w:tcBorders/>
            <w:shd w:fill="CCEEFF" w:val="clear"/>
            <w:vAlign w:val="center"/>
          </w:tcPr>
          <w:p>
            <w:pPr>
              <w:pStyle w:val="TableContents"/>
              <w:bidi w:val="0"/>
              <w:spacing w:before="0" w:after="283"/>
              <w:jc w:val="right"/>
              <w:rPr/>
            </w:pPr>
            <w:r>
              <w:rPr/>
              <w:t>(0.20</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right"/>
              <w:rPr/>
            </w:pPr>
            <w:r>
              <w:rPr/>
              <w:t>115,348,571</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right"/>
              <w:rPr/>
            </w:pPr>
            <w:r>
              <w:rPr/>
              <w:t>115,348,571</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Changes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of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Stockholders’/Member’s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120" w:after="0"/>
        <w:jc w:val="center"/>
        <w:rPr>
          <w:rFonts w:ascii="Times New Roman" w:hAnsi="Times New Roman"/>
          <w:b/>
          <w:sz w:val="20"/>
        </w:rPr>
      </w:pPr>
      <w:r>
        <w:rPr>
          <w:rFonts w:ascii="Times New Roman" w:hAnsi="Times New Roman"/>
          <w:b/>
          <w:sz w:val="20"/>
        </w:rPr>
        <w:t>)</w:t>
      </w:r>
    </w:p>
    <w:p>
      <w:pPr>
        <w:pStyle w:val="TextBody"/>
        <w:bidi w:val="0"/>
        <w:spacing w:before="0" w:after="0"/>
        <w:ind w:left="0" w:right="0" w:hanging="0"/>
        <w:jc w:val="left"/>
        <w:rPr>
          <w:spacing w:val="0"/>
        </w:rPr>
      </w:pPr>
      <w:r>
        <w:rPr>
          <w:spacing w:val="0"/>
        </w:rPr>
        <w:t> </w:t>
      </w:r>
    </w:p>
    <w:tbl>
      <w:tblPr>
        <w:tblW w:w="19286" w:type="dxa"/>
        <w:jc w:val="left"/>
        <w:tblInd w:w="0" w:type="dxa"/>
        <w:tblLayout w:type="fixed"/>
        <w:tblCellMar>
          <w:top w:w="0" w:type="dxa"/>
          <w:left w:w="0" w:type="dxa"/>
          <w:bottom w:w="0" w:type="dxa"/>
          <w:right w:w="0" w:type="dxa"/>
        </w:tblCellMar>
      </w:tblPr>
      <w:tblGrid>
        <w:gridCol w:w="995"/>
        <w:gridCol w:w="60"/>
        <w:gridCol w:w="214"/>
        <w:gridCol w:w="976"/>
        <w:gridCol w:w="233"/>
        <w:gridCol w:w="90"/>
        <w:gridCol w:w="210"/>
        <w:gridCol w:w="1315"/>
        <w:gridCol w:w="233"/>
        <w:gridCol w:w="90"/>
        <w:gridCol w:w="210"/>
        <w:gridCol w:w="1320"/>
        <w:gridCol w:w="155"/>
        <w:gridCol w:w="60"/>
        <w:gridCol w:w="60"/>
        <w:gridCol w:w="1220"/>
        <w:gridCol w:w="60"/>
        <w:gridCol w:w="60"/>
        <w:gridCol w:w="301"/>
        <w:gridCol w:w="559"/>
        <w:gridCol w:w="60"/>
        <w:gridCol w:w="60"/>
        <w:gridCol w:w="60"/>
        <w:gridCol w:w="1100"/>
        <w:gridCol w:w="155"/>
        <w:gridCol w:w="60"/>
        <w:gridCol w:w="301"/>
        <w:gridCol w:w="559"/>
        <w:gridCol w:w="60"/>
        <w:gridCol w:w="60"/>
        <w:gridCol w:w="233"/>
        <w:gridCol w:w="1332"/>
        <w:gridCol w:w="155"/>
        <w:gridCol w:w="60"/>
        <w:gridCol w:w="226"/>
        <w:gridCol w:w="1219"/>
        <w:gridCol w:w="155"/>
        <w:gridCol w:w="60"/>
        <w:gridCol w:w="210"/>
        <w:gridCol w:w="1205"/>
        <w:gridCol w:w="155"/>
        <w:gridCol w:w="60"/>
        <w:gridCol w:w="242"/>
        <w:gridCol w:w="1383"/>
        <w:gridCol w:w="155"/>
        <w:gridCol w:w="60"/>
        <w:gridCol w:w="180"/>
        <w:gridCol w:w="1130"/>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891"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SOLV Energy Holdings LLC Member’s Equity</w:t>
              <w:br/>
              <w:t>(Prior to the Transactions)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590" w:type="dxa"/>
            <w:gridSpan w:val="2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SOLV Energy, Inc. Stockholders’ Equity</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2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10"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995" w:type="dxa"/>
            <w:vMerge w:val="restart"/>
            <w:tcBorders/>
            <w:vAlign w:val="center"/>
          </w:tcPr>
          <w:p>
            <w:pPr>
              <w:pStyle w:val="TableContents"/>
              <w:bidi w:val="0"/>
              <w:spacing w:before="0" w:after="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(in thousands, except</w:t>
            </w:r>
          </w:p>
          <w:p>
            <w:pPr>
              <w:pStyle w:val="TableContents"/>
              <w:bidi w:val="0"/>
              <w:spacing w:before="0" w:after="20"/>
              <w:jc w:val="left"/>
              <w:rPr>
                <w:rFonts w:ascii="Times New Roman" w:hAnsi="Times New Roman"/>
                <w:i/>
                <w:caps w:val="false"/>
                <w:smallCaps w:val="false"/>
                <w:spacing w:val="0"/>
                <w:sz w:val="12"/>
              </w:rPr>
            </w:pPr>
            <w:r>
              <w:rPr>
                <w:rFonts w:ascii="Times New Roman" w:hAnsi="Times New Roman"/>
                <w:i/>
                <w:caps w:val="false"/>
                <w:smallCaps w:val="false"/>
                <w:spacing w:val="0"/>
                <w:sz w:val="12"/>
              </w:rPr>
              <w:t>number of units)</w:t>
            </w:r>
          </w:p>
        </w:tc>
        <w:tc>
          <w:tcPr>
            <w:tcW w:w="60" w:type="dxa"/>
            <w:vMerge w:val="restart"/>
            <w:tcBorders/>
            <w:vAlign w:val="center"/>
          </w:tcPr>
          <w:p>
            <w:pPr>
              <w:pStyle w:val="TableContents"/>
              <w:bidi w:val="0"/>
              <w:spacing w:before="0" w:after="0"/>
              <w:jc w:val="left"/>
              <w:rPr>
                <w:spacing w:val="0"/>
              </w:rPr>
            </w:pPr>
            <w:r>
              <w:rPr>
                <w:spacing w:val="0"/>
              </w:rPr>
              <w:t> </w:t>
            </w:r>
          </w:p>
        </w:tc>
        <w:tc>
          <w:tcPr>
            <w:tcW w:w="11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w:t>
            </w:r>
          </w:p>
          <w:p>
            <w:pPr>
              <w:pStyle w:val="TableContents"/>
              <w:bidi w:val="0"/>
              <w:spacing w:before="0" w:after="0"/>
              <w:jc w:val="center"/>
              <w:rPr/>
            </w:pPr>
            <w:r>
              <w:rPr/>
            </w:r>
          </w:p>
          <w:p>
            <w:pPr>
              <w:pStyle w:val="TableContents"/>
              <w:bidi w:val="0"/>
              <w:spacing w:before="0" w:after="0"/>
              <w:jc w:val="center"/>
              <w:rPr>
                <w:b/>
                <w:spacing w:val="0"/>
              </w:rPr>
            </w:pPr>
            <w:r>
              <w:rPr>
                <w:b/>
                <w:spacing w:val="0"/>
              </w:rPr>
              <w:t>Controlling</w:t>
              <w:br/>
              <w:t>Interests</w:t>
            </w:r>
          </w:p>
        </w:tc>
        <w:tc>
          <w:tcPr>
            <w:tcW w:w="233" w:type="dxa"/>
            <w:vMerge w:val="restart"/>
            <w:tcBorders/>
            <w:vAlign w:val="center"/>
          </w:tcPr>
          <w:p>
            <w:pPr>
              <w:pStyle w:val="TableContents"/>
              <w:bidi w:val="0"/>
              <w:spacing w:before="0" w:after="0"/>
              <w:jc w:val="left"/>
              <w:rPr>
                <w:spacing w:val="0"/>
              </w:rPr>
            </w:pPr>
            <w:r>
              <w:rPr>
                <w:spacing w:val="0"/>
              </w:rPr>
              <w:t> </w:t>
            </w:r>
          </w:p>
        </w:tc>
        <w:tc>
          <w:tcPr>
            <w:tcW w:w="90" w:type="dxa"/>
            <w:vMerge w:val="restart"/>
            <w:tcBorders/>
            <w:vAlign w:val="center"/>
          </w:tcPr>
          <w:p>
            <w:pPr>
              <w:pStyle w:val="TableContents"/>
              <w:bidi w:val="0"/>
              <w:spacing w:before="0" w:after="0"/>
              <w:jc w:val="left"/>
              <w:rPr>
                <w:spacing w:val="0"/>
              </w:rPr>
            </w:pPr>
            <w:r>
              <w:rPr>
                <w:spacing w:val="0"/>
              </w:rPr>
              <w:t> </w:t>
            </w:r>
          </w:p>
        </w:tc>
        <w:tc>
          <w:tcPr>
            <w:tcW w:w="152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233" w:type="dxa"/>
            <w:vMerge w:val="restart"/>
            <w:tcBorders/>
            <w:vAlign w:val="center"/>
          </w:tcPr>
          <w:p>
            <w:pPr>
              <w:pStyle w:val="TableContents"/>
              <w:bidi w:val="0"/>
              <w:spacing w:before="0" w:after="0"/>
              <w:jc w:val="left"/>
              <w:rPr>
                <w:spacing w:val="0"/>
              </w:rPr>
            </w:pPr>
            <w:r>
              <w:rPr>
                <w:spacing w:val="0"/>
              </w:rPr>
              <w:t> </w:t>
            </w:r>
          </w:p>
        </w:tc>
        <w:tc>
          <w:tcPr>
            <w:tcW w:w="90" w:type="dxa"/>
            <w:vMerge w:val="restart"/>
            <w:tcBorders/>
            <w:vAlign w:val="center"/>
          </w:tcPr>
          <w:p>
            <w:pPr>
              <w:pStyle w:val="TableContents"/>
              <w:bidi w:val="0"/>
              <w:spacing w:before="0" w:after="0"/>
              <w:jc w:val="left"/>
              <w:rPr>
                <w:spacing w:val="0"/>
              </w:rPr>
            </w:pPr>
            <w:r>
              <w:rPr>
                <w:spacing w:val="0"/>
              </w:rPr>
              <w:t> </w:t>
            </w:r>
          </w:p>
        </w:tc>
        <w:tc>
          <w:tcPr>
            <w:tcW w:w="153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Member’s</w:t>
              <w:br/>
              <w:t>Equity</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Class A Common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Class B Common Stock</w:t>
            </w:r>
          </w:p>
        </w:tc>
        <w:tc>
          <w:tcPr>
            <w:tcW w:w="60"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5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 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Stockholders’</w:t>
              <w:br/>
              <w:t>Equity</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2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pPr>
            <w:r>
              <w:rPr/>
            </w:r>
          </w:p>
          <w:p>
            <w:pPr>
              <w:pStyle w:val="TableContents"/>
              <w:bidi w:val="0"/>
              <w:spacing w:before="0" w:after="0"/>
              <w:jc w:val="center"/>
              <w:rPr>
                <w:b/>
                <w:spacing w:val="0"/>
              </w:rPr>
            </w:pPr>
            <w:r>
              <w:rPr>
                <w:b/>
                <w:spacing w:val="0"/>
              </w:rPr>
              <w:t>Interests (Post-</w:t>
            </w:r>
          </w:p>
          <w:p>
            <w:pPr>
              <w:pStyle w:val="TableContents"/>
              <w:bidi w:val="0"/>
              <w:spacing w:before="0" w:after="0"/>
              <w:jc w:val="center"/>
              <w:rPr/>
            </w:pPr>
            <w:r>
              <w:rPr/>
            </w:r>
          </w:p>
          <w:p>
            <w:pPr>
              <w:pStyle w:val="TableContents"/>
              <w:bidi w:val="0"/>
              <w:spacing w:before="0" w:after="0"/>
              <w:jc w:val="center"/>
              <w:rPr>
                <w:b/>
                <w:spacing w:val="0"/>
              </w:rPr>
            </w:pPr>
            <w:r>
              <w:rPr>
                <w:b/>
                <w:spacing w:val="0"/>
              </w:rPr>
              <w:t>IPO)</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Equity</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99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90" w:type="dxa"/>
            <w:gridSpan w:val="2"/>
            <w:vMerge w:val="continue"/>
            <w:tcBorders>
              <w:bottom w:val="single" w:sz="8" w:space="0" w:color="000000"/>
            </w:tcBorders>
            <w:tcMar>
              <w:bottom w:w="28" w:type="dxa"/>
            </w:tcMar>
            <w:vAlign w:val="center"/>
          </w:tcPr>
          <w:p>
            <w:pPr>
              <w:pStyle w:val="Normal"/>
              <w:bidi w:val="0"/>
              <w:jc w:val="left"/>
              <w:rPr/>
            </w:pPr>
            <w:r>
              <w:rPr/>
            </w:r>
          </w:p>
        </w:tc>
        <w:tc>
          <w:tcPr>
            <w:tcW w:w="233" w:type="dxa"/>
            <w:vMerge w:val="continue"/>
            <w:tcBorders/>
            <w:vAlign w:val="center"/>
          </w:tcPr>
          <w:p>
            <w:pPr>
              <w:pStyle w:val="Normal"/>
              <w:bidi w:val="0"/>
              <w:jc w:val="left"/>
              <w:rPr/>
            </w:pPr>
            <w:r>
              <w:rPr/>
            </w:r>
          </w:p>
        </w:tc>
        <w:tc>
          <w:tcPr>
            <w:tcW w:w="90" w:type="dxa"/>
            <w:vMerge w:val="continue"/>
            <w:tcBorders>
              <w:bottom w:val="single" w:sz="8" w:space="0" w:color="000000"/>
            </w:tcBorders>
            <w:tcMar>
              <w:bottom w:w="28" w:type="dxa"/>
            </w:tcMar>
            <w:vAlign w:val="center"/>
          </w:tcPr>
          <w:p>
            <w:pPr>
              <w:pStyle w:val="Normal"/>
              <w:bidi w:val="0"/>
              <w:jc w:val="left"/>
              <w:rPr/>
            </w:pPr>
            <w:r>
              <w:rPr/>
            </w:r>
          </w:p>
        </w:tc>
        <w:tc>
          <w:tcPr>
            <w:tcW w:w="1525" w:type="dxa"/>
            <w:gridSpan w:val="2"/>
            <w:vMerge w:val="continue"/>
            <w:tcBorders/>
            <w:vAlign w:val="center"/>
          </w:tcPr>
          <w:p>
            <w:pPr>
              <w:pStyle w:val="Normal"/>
              <w:bidi w:val="0"/>
              <w:jc w:val="left"/>
              <w:rPr/>
            </w:pPr>
            <w:r>
              <w:rPr/>
            </w:r>
          </w:p>
        </w:tc>
        <w:tc>
          <w:tcPr>
            <w:tcW w:w="233" w:type="dxa"/>
            <w:vMerge w:val="continue"/>
            <w:tcBorders>
              <w:bottom w:val="single" w:sz="8" w:space="0" w:color="000000"/>
            </w:tcBorders>
            <w:tcMar>
              <w:bottom w:w="28" w:type="dxa"/>
            </w:tcMar>
            <w:vAlign w:val="center"/>
          </w:tcPr>
          <w:p>
            <w:pPr>
              <w:pStyle w:val="Normal"/>
              <w:bidi w:val="0"/>
              <w:jc w:val="left"/>
              <w:rPr/>
            </w:pPr>
            <w:r>
              <w:rPr/>
            </w:r>
          </w:p>
        </w:tc>
        <w:tc>
          <w:tcPr>
            <w:tcW w:w="90" w:type="dxa"/>
            <w:vMerge w:val="continue"/>
            <w:tcBorders/>
            <w:vAlign w:val="center"/>
          </w:tcPr>
          <w:p>
            <w:pPr>
              <w:pStyle w:val="Normal"/>
              <w:bidi w:val="0"/>
              <w:jc w:val="left"/>
              <w:rPr/>
            </w:pPr>
            <w:r>
              <w:rPr/>
            </w:r>
          </w:p>
        </w:tc>
        <w:tc>
          <w:tcPr>
            <w:tcW w:w="153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56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445"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2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1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2,510</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(247,322</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638,259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393,447</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compensation expense</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770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770</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Distributions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(47,844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(47,844</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Contribution from NCI</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212</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(714</w:t>
            </w:r>
          </w:p>
        </w:tc>
        <w:tc>
          <w:tcPr>
            <w:tcW w:w="23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(502</w:t>
            </w:r>
          </w:p>
        </w:tc>
        <w:tc>
          <w:tcPr>
            <w:tcW w:w="170" w:type="dxa"/>
            <w:tcBorders/>
            <w:shd w:fill="CCEEFF" w:val="clear"/>
            <w:vAlign w:val="center"/>
          </w:tcPr>
          <w:p>
            <w:pPr>
              <w:pStyle w:val="TableContents"/>
              <w:bidi w:val="0"/>
              <w:spacing w:before="0" w:after="283"/>
              <w:jc w:val="left"/>
              <w:rPr/>
            </w:pPr>
            <w:r>
              <w:rPr/>
              <w:t>)</w:t>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March 31, 2025</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2,722</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(248,036</w:t>
            </w:r>
          </w:p>
        </w:tc>
        <w:tc>
          <w:tcPr>
            <w:tcW w:w="233"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591,185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(345,871</w:t>
            </w:r>
          </w:p>
        </w:tc>
        <w:tc>
          <w:tcPr>
            <w:tcW w:w="170" w:type="dxa"/>
            <w:tcBorders/>
            <w:vAlign w:val="center"/>
          </w:tcPr>
          <w:p>
            <w:pPr>
              <w:pStyle w:val="TableContents"/>
              <w:bidi w:val="0"/>
              <w:spacing w:before="0" w:after="283"/>
              <w:jc w:val="left"/>
              <w:rPr/>
            </w:pPr>
            <w:r>
              <w:rPr/>
              <w:t>)</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15"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3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3,030</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(98,139</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550,334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455,225</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15"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3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Unit-based compensation prior to </w:t>
              <w:br/>
              <w:t>the Transactions and IPO</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606</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Distributions prior to</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16"/>
              </w:rPr>
            </w:pPr>
            <w:r>
              <w:rPr>
                <w:rFonts w:ascii="Times New Roman" w:hAnsi="Times New Roman"/>
                <w:sz w:val="16"/>
              </w:rPr>
              <w:t>the</w:t>
              <w:br/>
              <w:t>Transactions and IPO</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(2,145</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(140,175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(142,320</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 prior to</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16"/>
              </w:rPr>
            </w:pPr>
            <w:r>
              <w:rPr>
                <w:rFonts w:ascii="Times New Roman" w:hAnsi="Times New Roman"/>
                <w:sz w:val="16"/>
              </w:rPr>
              <w:t>the</w:t>
              <w:br/>
              <w:t>Transactions and IPO</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13,588</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13,588</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Impacts of the Transactions and IPO</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Impact of the Transactions</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(885</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84,551</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(410,765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91,773,571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87,141,865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185,826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185,844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141,255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Class A Common Stock</w:t>
              <w:br/>
              <w:t>in IPO, net of issuance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308,226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308,229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232,807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541,036</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Establishment of deferred tax asset from IPO and Transactions</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(71,042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(71,042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(71,042</w:t>
            </w:r>
          </w:p>
        </w:tc>
        <w:tc>
          <w:tcPr>
            <w:tcW w:w="170" w:type="dxa"/>
            <w:tcBorders/>
            <w:vAlign w:val="center"/>
          </w:tcPr>
          <w:p>
            <w:pPr>
              <w:pStyle w:val="TableContents"/>
              <w:bidi w:val="0"/>
              <w:spacing w:before="0" w:after="283"/>
              <w:jc w:val="left"/>
              <w:rPr/>
            </w:pPr>
            <w:r>
              <w:rPr/>
              <w:t>)</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Equity based compensation subsequent to the Transactions </w:t>
              <w:br/>
              <w:t>and IPO</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32,847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24,811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57,658</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 subsequent to the Transactions and IPO</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(23,358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(23,358</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(17,644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(41,002</w:t>
            </w:r>
          </w:p>
        </w:tc>
        <w:tc>
          <w:tcPr>
            <w:tcW w:w="170" w:type="dxa"/>
            <w:tcBorders/>
            <w:vAlign w:val="center"/>
          </w:tcPr>
          <w:p>
            <w:pPr>
              <w:pStyle w:val="TableContents"/>
              <w:bidi w:val="0"/>
              <w:spacing w:before="0" w:after="283"/>
              <w:jc w:val="left"/>
              <w:rPr/>
            </w:pPr>
            <w:r>
              <w:rPr/>
              <w:t>)</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Distributions subsequent to the Transactions and IPO</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(2,525</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(2,525</w:t>
            </w:r>
          </w:p>
        </w:tc>
        <w:tc>
          <w:tcPr>
            <w:tcW w:w="170" w:type="dxa"/>
            <w:tcBorders/>
            <w:shd w:fill="CCEEFF" w:val="clear"/>
            <w:vAlign w:val="center"/>
          </w:tcPr>
          <w:p>
            <w:pPr>
              <w:pStyle w:val="TableContents"/>
              <w:bidi w:val="0"/>
              <w:spacing w:before="0" w:after="283"/>
              <w:jc w:val="left"/>
              <w:rPr/>
            </w:pPr>
            <w:r>
              <w:rPr/>
              <w:t>)</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Forfeiture of Class B common stock and LLC Units</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single" w:sz="2" w:space="1" w:color="000000"/>
              </w:rPr>
            </w:pPr>
            <w:r>
              <w:rPr>
                <w:bdr w:val="single" w:sz="2" w:space="1" w:color="000000"/>
              </w:rPr>
              <w:t> </w:t>
            </w:r>
          </w:p>
        </w:tc>
        <w:tc>
          <w:tcPr>
            <w:tcW w:w="976"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15" w:type="dxa"/>
            <w:tcBorders/>
            <w:vAlign w:val="center"/>
          </w:tcPr>
          <w:p>
            <w:pPr>
              <w:pStyle w:val="TableContents"/>
              <w:bidi w:val="0"/>
              <w:spacing w:before="0" w:after="0"/>
              <w:jc w:val="left"/>
              <w:rPr>
                <w:bdr w:val="single" w:sz="2" w:space="1" w:color="000000"/>
              </w:rPr>
            </w:pPr>
            <w:r>
              <w:rPr>
                <w:bdr w:val="single" w:sz="2"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3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3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March 31, 2026</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115,348,571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87,128,137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332" w:type="dxa"/>
            <w:tcBorders/>
            <w:shd w:fill="CCEEFF" w:val="clear"/>
            <w:vAlign w:val="center"/>
          </w:tcPr>
          <w:p>
            <w:pPr>
              <w:pStyle w:val="TableContents"/>
              <w:bidi w:val="0"/>
              <w:spacing w:before="0" w:after="283"/>
              <w:jc w:val="right"/>
              <w:rPr/>
            </w:pPr>
            <w:r>
              <w:rPr/>
              <w:t>455,857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(23,358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432,520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378,704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811,224</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bdr w:val="double" w:sz="6" w:space="1" w:color="000000"/>
              </w:rPr>
            </w:pPr>
            <w:r>
              <w:rPr>
                <w:bdr w:val="double" w:sz="6" w:space="1" w:color="000000"/>
              </w:rPr>
              <w:t> </w:t>
            </w:r>
          </w:p>
        </w:tc>
        <w:tc>
          <w:tcPr>
            <w:tcW w:w="976" w:type="dxa"/>
            <w:tcBorders/>
            <w:vAlign w:val="center"/>
          </w:tcPr>
          <w:p>
            <w:pPr>
              <w:pStyle w:val="TableContents"/>
              <w:bidi w:val="0"/>
              <w:spacing w:before="0" w:after="0"/>
              <w:jc w:val="left"/>
              <w:rPr>
                <w:bdr w:val="double" w:sz="6" w:space="1" w:color="000000"/>
              </w:rPr>
            </w:pPr>
            <w:r>
              <w:rPr>
                <w:bdr w:val="double" w:sz="6"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315" w:type="dxa"/>
            <w:tcBorders/>
            <w:vAlign w:val="center"/>
          </w:tcPr>
          <w:p>
            <w:pPr>
              <w:pStyle w:val="TableContents"/>
              <w:bidi w:val="0"/>
              <w:spacing w:before="0" w:after="0"/>
              <w:jc w:val="left"/>
              <w:rPr>
                <w:bdr w:val="double" w:sz="6" w:space="1" w:color="000000"/>
              </w:rPr>
            </w:pPr>
            <w:r>
              <w:rPr>
                <w:bdr w:val="double" w:sz="6" w:space="1" w:color="000000"/>
              </w:rPr>
              <w:t> </w:t>
            </w:r>
          </w:p>
        </w:tc>
        <w:tc>
          <w:tcPr>
            <w:tcW w:w="2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3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bdr w:val="double" w:sz="6" w:space="1" w:color="000000"/>
              </w:rPr>
            </w:pPr>
            <w:r>
              <w:rPr>
                <w:bdr w:val="double" w:sz="6" w:space="1" w:color="000000"/>
              </w:rPr>
              <w:t> </w:t>
            </w:r>
          </w:p>
        </w:tc>
        <w:tc>
          <w:tcPr>
            <w:tcW w:w="1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double" w:sz="6" w:space="1" w:color="000000"/>
              </w:rPr>
            </w:pPr>
            <w:r>
              <w:rPr>
                <w:bdr w:val="double" w:sz="6" w:space="1" w:color="000000"/>
              </w:rPr>
              <w:t> </w:t>
            </w:r>
          </w:p>
        </w:tc>
        <w:tc>
          <w:tcPr>
            <w:tcW w:w="138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double" w:sz="6" w:space="1" w:color="000000"/>
              </w:rPr>
            </w:pPr>
            <w:r>
              <w:rPr>
                <w:bdr w:val="double" w:sz="6" w:space="1" w:color="000000"/>
              </w:rPr>
              <w:t> </w:t>
            </w:r>
          </w:p>
        </w:tc>
        <w:tc>
          <w:tcPr>
            <w:tcW w:w="113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unaudited condensed consolidated financial statements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units and per unit amounts, unaudited) </w:t>
      </w:r>
    </w:p>
    <w:p>
      <w:pPr>
        <w:pStyle w:val="TextBody"/>
        <w:bidi w:val="0"/>
        <w:spacing w:before="120" w:after="0"/>
        <w:jc w:val="center"/>
        <w:rPr>
          <w:rFonts w:ascii="Times New Roman" w:hAnsi="Times New Roman"/>
          <w:b/>
          <w:sz w:val="20"/>
        </w:rPr>
      </w:pPr>
      <w:r>
        <w:rPr>
          <w:rFonts w:ascii="Times New Roman" w:hAnsi="Times New Roman"/>
          <w:b/>
          <w:sz w:val="20"/>
        </w:rPr>
      </w:r>
    </w:p>
    <w:p>
      <w:pPr>
        <w:pStyle w:val="TextBody"/>
        <w:bidi w:val="0"/>
        <w:spacing w:before="0" w:after="0"/>
        <w:jc w:val="left"/>
        <w:rPr>
          <w:sz w:val="24"/>
        </w:rPr>
      </w:pPr>
      <w:r>
        <w:rPr>
          <w:sz w:val="24"/>
        </w:rPr>
      </w:r>
    </w:p>
    <w:tbl>
      <w:tblPr>
        <w:tblW w:w="9897" w:type="dxa"/>
        <w:jc w:val="left"/>
        <w:tblInd w:w="0" w:type="dxa"/>
        <w:tblLayout w:type="fixed"/>
        <w:tblCellMar>
          <w:top w:w="0" w:type="dxa"/>
          <w:left w:w="0" w:type="dxa"/>
          <w:bottom w:w="0" w:type="dxa"/>
          <w:right w:w="0" w:type="dxa"/>
        </w:tblCellMar>
      </w:tblPr>
      <w:tblGrid>
        <w:gridCol w:w="6290"/>
        <w:gridCol w:w="120"/>
        <w:gridCol w:w="207"/>
        <w:gridCol w:w="1302"/>
        <w:gridCol w:w="230"/>
        <w:gridCol w:w="178"/>
        <w:gridCol w:w="207"/>
        <w:gridCol w:w="1193"/>
        <w:gridCol w:w="170"/>
      </w:tblGrid>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3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170" w:type="dxa"/>
            <w:tcBorders/>
            <w:vAlign w:val="center"/>
          </w:tcPr>
          <w:p>
            <w:pPr>
              <w:pStyle w:val="TableContents"/>
              <w:bidi w:val="0"/>
              <w:spacing w:before="0" w:after="0"/>
              <w:jc w:val="left"/>
              <w:rPr>
                <w:spacing w:val="0"/>
              </w:rPr>
            </w:pPr>
            <w:r>
              <w:rPr>
                <w:spacing w:val="0"/>
              </w:rPr>
              <w:t> </w:t>
            </w:r>
          </w:p>
        </w:tc>
      </w:tr>
      <w:tr>
        <w:trPr/>
        <w:tc>
          <w:tcPr>
            <w:tcW w:w="62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30" w:type="dxa"/>
            <w:tcBorders/>
            <w:vAlign w:val="center"/>
          </w:tcPr>
          <w:p>
            <w:pPr>
              <w:pStyle w:val="TableContents"/>
              <w:bidi w:val="0"/>
              <w:spacing w:before="0" w:after="0"/>
              <w:jc w:val="left"/>
              <w:rPr>
                <w:spacing w:val="0"/>
              </w:rPr>
            </w:pPr>
            <w:r>
              <w:rPr>
                <w:spacing w:val="0"/>
              </w:rPr>
              <w:t> </w:t>
            </w:r>
          </w:p>
        </w:tc>
        <w:tc>
          <w:tcPr>
            <w:tcW w:w="178" w:type="dxa"/>
            <w:tcBorders/>
            <w:vAlign w:val="center"/>
          </w:tcPr>
          <w:p>
            <w:pPr>
              <w:pStyle w:val="TableContents"/>
              <w:bidi w:val="0"/>
              <w:spacing w:before="0" w:after="0"/>
              <w:jc w:val="left"/>
              <w:rPr>
                <w:spacing w:val="0"/>
              </w:rPr>
            </w:pPr>
            <w:r>
              <w:rPr>
                <w:spacing w:val="0"/>
              </w:rPr>
              <w:t>  </w:t>
            </w:r>
          </w:p>
        </w:tc>
        <w:tc>
          <w:tcPr>
            <w:tcW w:w="14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62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flows from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302"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302" w:type="dxa"/>
            <w:tcBorders/>
            <w:vAlign w:val="center"/>
          </w:tcPr>
          <w:p>
            <w:pPr>
              <w:pStyle w:val="TableContents"/>
              <w:bidi w:val="0"/>
              <w:spacing w:before="0" w:after="283"/>
              <w:jc w:val="right"/>
              <w:rPr/>
            </w:pPr>
            <w:r>
              <w:rPr/>
              <w:t>(27,414</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193" w:type="dxa"/>
            <w:tcBorders/>
            <w:vAlign w:val="center"/>
          </w:tcPr>
          <w:p>
            <w:pPr>
              <w:pStyle w:val="TableContents"/>
              <w:bidi w:val="0"/>
              <w:spacing w:before="0" w:after="283"/>
              <w:jc w:val="right"/>
              <w:rPr/>
            </w:pPr>
            <w:r>
              <w:rPr/>
              <w:t>(502</w:t>
            </w:r>
          </w:p>
        </w:tc>
        <w:tc>
          <w:tcPr>
            <w:tcW w:w="170" w:type="dxa"/>
            <w:tcBorders/>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302"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23,730</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19,572</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compensation expense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64,874</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712</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on extinguishment of debt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6,676</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Write off of project development costs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3,939</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152</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(57,716</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386</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02"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14,241</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20,175</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302"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(10,440</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(2,778</w:t>
            </w:r>
          </w:p>
        </w:tc>
        <w:tc>
          <w:tcPr>
            <w:tcW w:w="170" w:type="dxa"/>
            <w:tcBorders/>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acquisitions, net of cash acquired</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(10,756</w:t>
            </w:r>
          </w:p>
        </w:tc>
        <w:tc>
          <w:tcPr>
            <w:tcW w:w="170" w:type="dxa"/>
            <w:tcBorders/>
            <w:shd w:fill="CCEEFF" w:val="clear"/>
            <w:vAlign w:val="center"/>
          </w:tcPr>
          <w:p>
            <w:pPr>
              <w:pStyle w:val="TableContents"/>
              <w:bidi w:val="0"/>
              <w:spacing w:before="0" w:after="283"/>
              <w:jc w:val="left"/>
              <w:rPr/>
            </w:pPr>
            <w:r>
              <w:rPr/>
              <w:t>)</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02"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(10,440</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(13,534</w:t>
            </w:r>
          </w:p>
        </w:tc>
        <w:tc>
          <w:tcPr>
            <w:tcW w:w="170" w:type="dxa"/>
            <w:tcBorders/>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302"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Class A common stock in IPO, net of underwriting discount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552,542</w:t>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term debt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(405,203</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(1,015</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acquisition consideration</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(5,500</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(3,536</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on debt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32,500</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(2,800</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Payments for finance leases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(2,901</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(1,979</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on equipment financing</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14,500</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Payments on equipment financing</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(1,523</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(1,764</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Distributions to members of SOLV Energy Holdings LLC</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(144,845</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(47,844</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02"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(13,766</w:t>
            </w:r>
          </w:p>
        </w:tc>
        <w:tc>
          <w:tcPr>
            <w:tcW w:w="230"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(5,602</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(9,965</w:t>
            </w:r>
          </w:p>
        </w:tc>
        <w:tc>
          <w:tcPr>
            <w:tcW w:w="230"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1,039</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394,876</w:t>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207,987</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02"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384,911</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209,026</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02" w:type="dxa"/>
            <w:tcBorders/>
            <w:vAlign w:val="center"/>
          </w:tcPr>
          <w:p>
            <w:pPr>
              <w:pStyle w:val="TableContents"/>
              <w:bidi w:val="0"/>
              <w:spacing w:before="0" w:after="0"/>
              <w:jc w:val="left"/>
              <w:rPr>
                <w:bdr w:val="single" w:sz="2" w:space="1" w:color="000000"/>
              </w:rPr>
            </w:pPr>
            <w:r>
              <w:rPr>
                <w:bdr w:val="single" w:sz="2" w:space="1" w:color="000000"/>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bdr w:val="single" w:sz="2" w:space="1" w:color="000000"/>
              </w:rPr>
            </w:pPr>
            <w:r>
              <w:rPr>
                <w:bdr w:val="single" w:sz="2" w:space="1" w:color="000000"/>
              </w:rPr>
              <w:t> </w:t>
            </w:r>
          </w:p>
        </w:tc>
        <w:tc>
          <w:tcPr>
            <w:tcW w:w="119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8,572</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12,073</w:t>
            </w:r>
          </w:p>
        </w:tc>
        <w:tc>
          <w:tcPr>
            <w:tcW w:w="170"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Supplemental disclosure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302"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 in accounts payable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1,939</w:t>
            </w:r>
          </w:p>
        </w:tc>
        <w:tc>
          <w:tcPr>
            <w:tcW w:w="23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 reclassified to APIC</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9,843</w:t>
            </w:r>
          </w:p>
        </w:tc>
        <w:tc>
          <w:tcPr>
            <w:tcW w:w="23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305"/>
        <w:gridCol w:w="2030"/>
      </w:tblGrid>
      <w:tr>
        <w:trPr/>
        <w:tc>
          <w:tcPr>
            <w:tcW w:w="305" w:type="dxa"/>
            <w:tcBorders/>
            <w:vAlign w:val="center"/>
          </w:tcPr>
          <w:p>
            <w:pPr>
              <w:pStyle w:val="TableContents"/>
              <w:bidi w:val="0"/>
              <w:spacing w:before="0" w:after="0"/>
              <w:jc w:val="left"/>
              <w:rPr>
                <w:b/>
                <w:spacing w:val="0"/>
              </w:rPr>
            </w:pPr>
            <w:r>
              <w:rPr>
                <w:b/>
                <w:spacing w:val="0"/>
              </w:rPr>
              <w:t>(1)</w:t>
            </w:r>
          </w:p>
        </w:tc>
        <w:tc>
          <w:tcPr>
            <w:tcW w:w="2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SOLV Energy, Inc. was incorporated as a Delaware corporation on April 1, 2025 (Date of Formation) for the purpose of completing an initial public offering (“IPO”) of its Class A common stock and related transactions in order to continue the business of SOLV Energy Holdings LLC as a publicly-traded entity.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SOLV Energy, Inc. is a holding company whose sole material assets are the limited liability company interests in SOLV Energy Holdings LLC. All of our business is conducted through SOLV Energy Holdings LLC, together with its subsidiaries, and the financial results of SOLV Energy Holdings LLC are consolidated in our financial statements. SOLV Energy Holdings LLC is taxed as a partnership for federal income tax purposes and, as a result, its members, including SOLV Energy, Inc., pay income taxes with respect to their allocable shares of its net taxable income. Except where the context clearly indicates otherwise, “SOLV,” “we,” “us,” “our,” or the “Company” refers to SOLV Energy, Inc. and all of its direct and indirect subsidiaries, including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Initial Public Offering and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2026, the Company successfully completed an IPO of 23,575,000 shares of its Class A common stock for net proceeds of approximately $552,500 after deducting the underwriters’ discount and expenses and commissions payable.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SOLV Energy Holdings LLC amended and restated its limited liability company agreement to, among other things, (i) recapitalize all existing ownership interests in SOLV Energy Holdings LLC into a single class of common units (“LLC Interests”) and (ii) appoint a wholly-owned subsidiary of SOLV Energy, Inc. as the sole managing member of SOLV Energy Holdings LLC upon or prior to the acquisition of LLC Interests by SOLV Energy, Inc. in connection with the IPO. Simultaneously with the IPO, SOLV Energy, Inc. amended and restated its certificate of incorporation to, among other things, provide (i) for Class A common stock, with each share of its Class A common stock entitling its holder to one vote per share on all matters presented to the Company’s stockholders generally and (ii) for Class B common stock, with each share of the Company’s Class B common stock entitling its holder to one vote per share on all matters presented to the Company’s stockholders generally, and that shares of the Company’s Class B common stock may only be held by the direct and indirect holders of LLC Interests and the Company’s Class B common stock immediately following consummation of the Transactions (“Continuing Equity Owners”) and their respective permitted transferees. As a result, SOLV Energy, Inc. became a holding company and the sole manager of the Company, through its wholly-owned subsidiary, with no material assets other than the ownership of the voting membership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the IPO and the related liquidation of SOLV Energy Parent Holdings LP, all outstanding Restricted Class C Units (including Legacy SOLV Units and Additional C Units issued in connection with the merger between SOLV Energy Holdings LLC and ASP Endeavor Acquisition LLC, the parent company of CS Energy (the “Merger”)) were converted into common units of SOLV Energy Holdings LLC. Vested class C Units were converted into vested common units. Unvested time units were converted into unvested common units subject to the same time-based vesting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Unvested performance units were converted into common units and treated as time units at the time of original grant, with time-based vesting deemed to have commenced on the original vesting start date, resulting in a portion becoming vested and the remaining portion continuing to vest on the same schedule, subject to continued employment or service.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IPO, SOLV Energy, Inc. used the net proceeds from this offering to purchase 23,575,000 newly issued LLC Interests directly and/or indirectly from the Company at a price per unit equal to the IPO price per share of Class A common stock less the underwriting discounts and commissions.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305"/>
        <w:gridCol w:w="1850"/>
      </w:tblGrid>
      <w:tr>
        <w:trPr/>
        <w:tc>
          <w:tcPr>
            <w:tcW w:w="305" w:type="dxa"/>
            <w:tcBorders/>
            <w:vAlign w:val="center"/>
          </w:tcPr>
          <w:p>
            <w:pPr>
              <w:pStyle w:val="TableContents"/>
              <w:bidi w:val="0"/>
              <w:spacing w:before="0" w:after="0"/>
              <w:jc w:val="left"/>
              <w:rPr>
                <w:b/>
                <w:spacing w:val="0"/>
              </w:rPr>
            </w:pPr>
            <w:r>
              <w:rPr>
                <w:b/>
                <w:spacing w:val="0"/>
              </w:rPr>
              <w:t>(2)</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the Company and its controlled subsidiaries which reflect all adjustments necessary to state fairly the Company’s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GAAP for annual reports. The accompanying condensed consolidated interim financial statements are unaudited and should be read in conjunction with the annual consolidated financial statements, and the notes thereto for the fiscal year ended December 31, 2025. Interim results of operations are not necessarily indicative of the results that may be achieved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certain assets and liabilities as current utilizing the duration of the related 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SOLV Energy, Inc. and SOLV Energy Holdings LLC and its wholly-owned subsidiaries. SOLV Energy Holdings LLC is considered a variable interest entity and SOLV Energy, Inc. is the primary beneficiary and, through a wholly-owned subsidiary, the sole managing member of SOLV Energy Holdings LLC and has decision making authority that significantly affects the performance of the entity. Accordingly, the Company consolidates SOLV Energy Holdings LLC and reports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representing the economic interest in SOLV Energy Holdings LLC held by the Continuing Equity Owners.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240" w:after="0"/>
        <w:jc w:val="left"/>
        <w:rPr>
          <w:rFonts w:ascii="Times New Roman" w:hAnsi="Times New Roman"/>
          <w:sz w:val="20"/>
        </w:rPr>
      </w:pPr>
      <w:r>
        <w:rPr>
          <w:rFonts w:ascii="Times New Roman" w:hAnsi="Times New Roman"/>
          <w:sz w:val="20"/>
        </w:rPr>
        <w:t xml:space="preserve">interests in the condensed consolidated statement of operations for the three months ended March 31, 2026 represents the portion of earnings attributable to the economic interest in SOLV Energy Holdings LLC held by the Continuing Equity Owners.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240" w:after="0"/>
        <w:jc w:val="left"/>
        <w:rPr>
          <w:rFonts w:ascii="Times New Roman" w:hAnsi="Times New Roman"/>
          <w:sz w:val="20"/>
        </w:rPr>
      </w:pPr>
      <w:r>
        <w:rPr>
          <w:rFonts w:ascii="Times New Roman" w:hAnsi="Times New Roman"/>
          <w:sz w:val="20"/>
        </w:rPr>
        <w:t xml:space="preserve">interests in the condensed consolidated balance sheet as of March 31, 2026 represents the portion of the net assets of the Company attributable to the Continuing Equity Owners, based on the portion of the LLC Interests owned by such unit holders, which was 43.0% of the total LLC Interests as of March 31, 2026.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305"/>
        <w:gridCol w:w="3800"/>
      </w:tblGrid>
      <w:tr>
        <w:trPr/>
        <w:tc>
          <w:tcPr>
            <w:tcW w:w="305" w:type="dxa"/>
            <w:tcBorders/>
            <w:vAlign w:val="center"/>
          </w:tcPr>
          <w:p>
            <w:pPr>
              <w:pStyle w:val="TableContents"/>
              <w:bidi w:val="0"/>
              <w:spacing w:before="0" w:after="0"/>
              <w:jc w:val="left"/>
              <w:rPr>
                <w:b/>
                <w:spacing w:val="0"/>
              </w:rPr>
            </w:pPr>
            <w:r>
              <w:rPr>
                <w:b/>
                <w:spacing w:val="0"/>
              </w:rPr>
              <w:t>(3)</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Included below are selected significant accounting policies including those that were added or modified during the three months ended March 31, 2026 as a result of new transactions entered into or the adoption of new accounting policies. Refer to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 3—Summary of Significant Accounting Policies</w:t>
      </w:r>
    </w:p>
    <w:p>
      <w:pPr>
        <w:pStyle w:val="TextBody"/>
        <w:bidi w:val="0"/>
        <w:spacing w:before="120" w:after="0"/>
        <w:jc w:val="left"/>
        <w:rPr>
          <w:rFonts w:ascii="Times New Roman" w:hAnsi="Times New Roman"/>
          <w:sz w:val="20"/>
        </w:rPr>
      </w:pPr>
      <w:r>
        <w:rPr>
          <w:rFonts w:ascii="Times New Roman" w:hAnsi="Times New Roman"/>
          <w:sz w:val="20"/>
        </w:rPr>
        <w:t xml:space="preserve">in the Annual Report for the full list of our significant accounting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financial statements in conformity with U.S. GAAP requires management to make estimates and assumptions that affect the amounts reported in the accompanying condensed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condensed consolidated financial statements primarily include, but are not limited to, those related to revenue recognition, goodwill and long-lived asset valuations, impairment assessments, stock-based compensation awards, and estimates related to the tax receivable agreement.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IPO, the Company became subject to U.S. federal, state, and local income taxes with respect to its allocable share of taxable income of SOLV Energy Holdings LLC assessed at the prevailing corporate tax rates. SOLV Energy Holdings LLC operates as a limited liability company and is treated as a partnership for income tax purposes. Accordingly, SOLV Energy Holdings LLC incurs no significant liability for federal or state income taxes since the taxable income or loss is passed through to its members. SOLV Energy Holdings LLC incurs liabilities for certain state taxes paid directly by it, which are not significant and for which the expense is included in the provision for income taxes in the accompanying condensed consolidated statements of income for the three months ended March 31, 2026 and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the liability method to account for income taxes in accordance with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ASC 740—Income Taxes</w:t>
      </w:r>
    </w:p>
    <w:p>
      <w:pPr>
        <w:pStyle w:val="TextBody"/>
        <w:bidi w:val="0"/>
        <w:spacing w:before="240" w:after="0"/>
        <w:jc w:val="left"/>
        <w:rPr>
          <w:rFonts w:ascii="Times New Roman" w:hAnsi="Times New Roman"/>
          <w:sz w:val="20"/>
        </w:rPr>
      </w:pPr>
      <w:r>
        <w:rPr>
          <w:rFonts w:ascii="Times New Roman" w:hAnsi="Times New Roman"/>
          <w:sz w:val="20"/>
        </w:rPr>
        <w:t xml:space="preserve">. Under this method, deferred tax assets and liabilities are recognized for the future tax consequences of differences between the financial reporting and tax bases of assets and liabilities. Deferred tax amounts are calculated using the enacted tax rates expected to be in effect when the temporary differences reverse. Deferred tax assets are recorded when it is considered more likely than not that they will be realized. The Company evaluates the need for a valuation allowance by considering all available evidence, including projections of future taxable income, the timing of temporary difference reversals, the existence of tax planning strategies and historical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tax benefit from an uncertain tax position only if it is more likely than not that the tax position will be sustained on examination by the taxing authority, based on the technical merits of the position. As of March 31, 2026 and December 31, 2025, there were no known items that would require an accrual for uncertain tax positions.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Company entered into a Tax Receivable Agreement (“TRA”) with SOLV Energy Holdings LLC and the Continuing Equity Owners whereby the Company agreed to pay to such Continuing Equity Owners 85% of the benefits that the Company realizes, or is deemed to realize, as a result of the Company’s allocable share of existing tax basis acquired in the IPO, increases in the Company’s share of existing tax basis and adjustments to the tax basis of the assets of SOLV Energy Holdings LLC as a result of sales or exchanges of common units, and certain other tax benefits related to entering into the TRA.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tax expenses, the Company will also make payments under the TRA, which are expected to be significant. The Company will account for the income tax effects and corresponding TRA’s effects resulting from future taxable purchases or redemptions of LLC Interests of the Continuing Equity Owners by recognizing an increase in deferred tax assets, based on enacted tax rates at the date of the purchase or redemption. Further, the Company will evaluate the likelihood that it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realize the benefit represented by the deferred tax asset and, to the extent that management estimates that it is more likely than not that the Company will not realize the benefit, the Company will reduce the carrying amount of the deferred tax asset with a valuation allowance. The amounts to be recorded for both the deferred tax assets and the liability for obligations under the TRA will be estimated at the time of any purchase or redemption as an adjustment to stockholders’ equity, and the effects of changes in any estimates after this date will be included in net income. Similarly, the effect of subsequent changes in the enacted tax rates will be included in net income. Judgment is required in assessing the future tax consequences of events that have been recognized in the Company’s financial statements. A change in the Company’s assessment of such consequences, such as realization of deferred tax assets, changes in tax laws or interpretations thereof could materially impact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obligations arising under the TRA in accordance with ASC 450—Contingencies. Obligations under the TRA are accrued when it is probable that a liability has been incurred and its amount is estimable. Liabilities associated with the TRA are classified as either current or noncurrent based on the expected date of payment and are presented in the condensed consolidated balance sheets. The exchange of partnership interest will result in an increase in TRA liabilities with a corresponding adjustment to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Subsequent remeasurement of the TRA liabilities is recognized in the condensed consolidated statement of operations. See Note 8 — Income Taxes and Tax Receivable Agreement for additional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stock-based compensation in accordance with ASC 718, Compensation – Stock Compensation (“ASC 718”). Stock-based awards, including stock options and restricted stock awards are measured at their grant-date fair value and recognized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compensation expense on a straight-line basis over the requisite service period, which generally corresponds to the vesting period of the award. The fair value of the stock-based awards is determined based on the Company’s Class A common stock closing price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For periods prior to the Company’s IPO, the grant date fair value of the Restricted Class C Units were determined on each grant date using the Black-Scholes option-pricing model, which required management to make certain assumptions with respect to selected model inputs, such as: (i) the risk-free interest rate, (ii) the expected volatility of the price of the Restricted Class C Units, (iii) the expected dividend yield, and (iv) the expected time to liquidity.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Restricted Unit Appreciation (“RUA”) Plan awards were measured based on the fair value of Class A units of SOLV Energy Parent Holdings LP, which is estimated using generally accepted equity valuation and allocation methods. Subsequent to the IPO, the fair value of RUA awards is derived from the fair market value of the Class A common stock on the settlement date and is therefore a Level 1 measurement. The change in fair value at each reporting end will be recognized in the condensed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See Note 9 – Stock-based Compensation, for addition information on the Company’s stock-based compensation plans and awards.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(loss) per share is computed by dividing net income (loss) attributable to SOLV Energy, Inc. by the weighted average number of shares of Class A common stock outstanding during the period. Diluted earnings (loss) per share is computed by giving effect to all potential shares, including exchangeable SOLV Energy Holdings LLC Units, unvested Restricted common units, stock-options and restricted stock awards, to the extent dilutive. The Company uses the </w:t>
      </w:r>
    </w:p>
    <w:p>
      <w:pPr>
        <w:pStyle w:val="TextBody"/>
        <w:bidi w:val="0"/>
        <w:spacing w:before="120" w:after="0"/>
        <w:jc w:val="left"/>
        <w:rPr>
          <w:spacing w:val="0"/>
        </w:rPr>
      </w:pPr>
      <w:r>
        <w:rPr>
          <w:spacing w:val="0"/>
        </w:rPr>
        <w:t>“</w:t>
      </w:r>
      <w:r>
        <w:rPr>
          <w:rFonts w:ascii="Times New Roman" w:hAnsi="Times New Roman"/>
          <w:spacing w:val="0"/>
          <w:sz w:val="20"/>
        </w:rPr>
        <w:t>if-converted”</w:t>
      </w:r>
    </w:p>
    <w:p>
      <w:pPr>
        <w:pStyle w:val="TextBody"/>
        <w:bidi w:val="0"/>
        <w:spacing w:before="120" w:after="0"/>
        <w:jc w:val="left"/>
        <w:rPr>
          <w:rFonts w:ascii="Times New Roman" w:hAnsi="Times New Roman"/>
          <w:sz w:val="20"/>
        </w:rPr>
      </w:pPr>
      <w:r>
        <w:rPr>
          <w:rFonts w:ascii="Times New Roman" w:hAnsi="Times New Roman"/>
          <w:sz w:val="20"/>
        </w:rPr>
        <w:t xml:space="preserve">method to determine the potential dilutive effects of the vested SOLV Energy Holdings LLC units and the treasury stock method to determine the potential dilutive effects of the unvested Restricted common units and the vesting of the outstanding equity awards. Both methods are used as if the common units and outstanding equity awards were converted into Class A common stock of SOLV Energy, Inc. as of the IPO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See Note 11 – Earnings per Share, for additional information on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dilutive </w:t>
      </w:r>
    </w:p>
    <w:p>
      <w:pPr>
        <w:pStyle w:val="TextBody"/>
        <w:bidi w:val="0"/>
        <w:spacing w:before="0" w:after="0"/>
        <w:jc w:val="left"/>
        <w:rPr>
          <w:rFonts w:ascii="Times New Roman" w:hAnsi="Times New Roman"/>
          <w:sz w:val="20"/>
        </w:rPr>
      </w:pPr>
      <w:r>
        <w:rPr>
          <w:rFonts w:ascii="Times New Roman" w:hAnsi="Times New Roman"/>
          <w:sz w:val="20"/>
        </w:rPr>
        <w:t xml:space="preserve">securities.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pPr>
      <w:r>
        <w:rPr/>
        <w:t>“</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Statement—Reporting Comprehensive Income—Expense Disaggregation Disclosures (Subtopic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Disaggregation of Income Statement Expenses</w:t>
      </w:r>
    </w:p>
    <w:p>
      <w:pPr>
        <w:pStyle w:val="TextBody"/>
        <w:bidi w:val="0"/>
        <w:spacing w:before="120" w:after="0"/>
        <w:jc w:val="left"/>
        <w:rPr>
          <w:rFonts w:ascii="Times New Roman" w:hAnsi="Times New Roman"/>
          <w:sz w:val="20"/>
        </w:rPr>
      </w:pPr>
      <w:r>
        <w:rPr>
          <w:rFonts w:ascii="Times New Roman" w:hAnsi="Times New Roman"/>
          <w:sz w:val="20"/>
        </w:rPr>
        <w:t xml:space="preserve">.”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2025-06,</w:t>
      </w:r>
    </w:p>
    <w:p>
      <w:pPr>
        <w:pStyle w:val="TextBody"/>
        <w:bidi w:val="0"/>
        <w:spacing w:before="240" w:after="0"/>
        <w:jc w:val="left"/>
        <w:rPr/>
      </w:pPr>
      <w:r>
        <w:rPr/>
        <w:t>“</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Intangibles-Goodwill 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Other-Internal-Use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Software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350-40):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Targeted Improvements to the Accounting for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Internal-Use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Software</w:t>
      </w:r>
    </w:p>
    <w:p>
      <w:pPr>
        <w:pStyle w:val="TextBody"/>
        <w:bidi w:val="0"/>
        <w:spacing w:before="240" w:after="0"/>
        <w:jc w:val="left"/>
        <w:rPr/>
      </w:pPr>
      <w:r>
        <w:rPr/>
        <w:t>”</w:t>
      </w:r>
      <w:r>
        <w:rPr>
          <w:rFonts w:ascii="Times New Roman" w:hAnsi="Times New Roman"/>
          <w:sz w:val="20"/>
        </w:rPr>
        <w:t xml:space="preserve">, which amends the guidance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240" w:after="0"/>
        <w:jc w:val="left"/>
        <w:rPr>
          <w:rFonts w:ascii="Times New Roman" w:hAnsi="Times New Roman"/>
          <w:sz w:val="20"/>
        </w:rPr>
      </w:pPr>
      <w:r>
        <w:rPr>
          <w:rFonts w:ascii="Times New Roman" w:hAnsi="Times New Roman"/>
          <w:sz w:val="20"/>
        </w:rPr>
        <w:t xml:space="preserve">software. The ASU removed all references to prescriptive and sequential software development stages (referred to as “project stages”) throughout Subtopic </w:t>
      </w:r>
    </w:p>
    <w:p>
      <w:pPr>
        <w:pStyle w:val="TextBody"/>
        <w:bidi w:val="0"/>
        <w:spacing w:before="24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240" w:after="0"/>
        <w:jc w:val="left"/>
        <w:rPr>
          <w:rFonts w:ascii="Times New Roman" w:hAnsi="Times New Roman"/>
          <w:sz w:val="20"/>
        </w:rPr>
      </w:pPr>
      <w:r>
        <w:rPr>
          <w:rFonts w:ascii="Times New Roman" w:hAnsi="Times New Roman"/>
          <w:sz w:val="20"/>
        </w:rPr>
        <w:t xml:space="preserve">Instead an entity is required to start capitalizing software costs when 1) management has authorized and committed to funding the software project and 2) it is probable that the project will be completed, and the software will be used to perform the function intended (referred to as the </w:t>
      </w:r>
    </w:p>
    <w:p>
      <w:pPr>
        <w:pStyle w:val="TextBody"/>
        <w:bidi w:val="0"/>
        <w:spacing w:before="240" w:after="0"/>
        <w:jc w:val="left"/>
        <w:rPr>
          <w:spacing w:val="0"/>
        </w:rPr>
      </w:pPr>
      <w:r>
        <w:rPr>
          <w:spacing w:val="0"/>
        </w:rPr>
        <w:t>“</w:t>
      </w:r>
      <w:r>
        <w:rPr>
          <w:rFonts w:ascii="Times New Roman" w:hAnsi="Times New Roman"/>
          <w:spacing w:val="0"/>
          <w:sz w:val="20"/>
        </w:rPr>
        <w:t>probable-to-complete</w:t>
      </w:r>
    </w:p>
    <w:p>
      <w:pPr>
        <w:pStyle w:val="TextBody"/>
        <w:bidi w:val="0"/>
        <w:spacing w:before="240" w:after="0"/>
        <w:jc w:val="left"/>
        <w:rPr>
          <w:rFonts w:ascii="Times New Roman" w:hAnsi="Times New Roman"/>
          <w:sz w:val="20"/>
        </w:rPr>
      </w:pPr>
      <w:r>
        <w:rPr>
          <w:rFonts w:ascii="Times New Roman" w:hAnsi="Times New Roman"/>
          <w:sz w:val="20"/>
        </w:rPr>
        <w:t xml:space="preserve">recognition threshold”). Among other things, the ASU also specified that disclosures are required for all capitalized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240" w:after="0"/>
        <w:jc w:val="left"/>
        <w:rPr>
          <w:rFonts w:ascii="Times New Roman" w:hAnsi="Times New Roman"/>
          <w:sz w:val="20"/>
        </w:rPr>
      </w:pPr>
      <w:r>
        <w:rPr>
          <w:rFonts w:ascii="Times New Roman" w:hAnsi="Times New Roman"/>
          <w:sz w:val="20"/>
        </w:rPr>
        <w:t xml:space="preserve">software costs, regardless of how these costs are presented in the financial statements. The ASU is effective for annual reporting periods beginning after December 15, 2027 and interim reporting periods within those annual reporting periods. Early adoption is permitted. The Company is currently assessing the effect of this update. </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0"/>
              <w:jc w:val="left"/>
              <w:rPr>
                <w:b/>
                <w:spacing w:val="0"/>
              </w:rPr>
            </w:pPr>
            <w:r>
              <w:rPr>
                <w:b/>
                <w:spacing w:val="0"/>
              </w:rPr>
              <w:t>(4)</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guidance in ASC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 (Topic 606)</w:t>
      </w:r>
    </w:p>
    <w:p>
      <w:pPr>
        <w:pStyle w:val="TextBody"/>
        <w:bidi w:val="0"/>
        <w:spacing w:before="120" w:after="0"/>
        <w:jc w:val="left"/>
        <w:rPr>
          <w:rFonts w:ascii="Times New Roman" w:hAnsi="Times New Roman"/>
          <w:sz w:val="20"/>
        </w:rPr>
      </w:pPr>
      <w:r>
        <w:rPr>
          <w:rFonts w:ascii="Times New Roman" w:hAnsi="Times New Roman"/>
          <w:sz w:val="20"/>
        </w:rPr>
        <w:t xml:space="preserve">,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using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percentage-of-completion</w:t>
      </w:r>
    </w:p>
    <w:p>
      <w:pPr>
        <w:pStyle w:val="TextBody"/>
        <w:bidi w:val="0"/>
        <w:spacing w:before="240" w:after="0"/>
        <w:jc w:val="left"/>
        <w:rPr>
          <w:rFonts w:ascii="Times New Roman" w:hAnsi="Times New Roman"/>
          <w:sz w:val="20"/>
        </w:rPr>
      </w:pPr>
      <w:r>
        <w:rPr>
          <w:rFonts w:ascii="Times New Roman" w:hAnsi="Times New Roman"/>
          <w:sz w:val="20"/>
        </w:rPr>
        <w:t xml:space="preserve">method (an input method), based on costs incurred to date compared to total estimated costs. Costs related to uninstalled materials are included in this calculation incurred, provided that control of those materials has transferred to the customer.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6075" w:type="dxa"/>
        <w:jc w:val="left"/>
        <w:tblInd w:w="0" w:type="dxa"/>
        <w:tblLayout w:type="fixed"/>
        <w:tblCellMar>
          <w:top w:w="0" w:type="dxa"/>
          <w:left w:w="0" w:type="dxa"/>
          <w:bottom w:w="0" w:type="dxa"/>
          <w:right w:w="0" w:type="dxa"/>
        </w:tblCellMar>
      </w:tblPr>
      <w:tblGrid>
        <w:gridCol w:w="1850"/>
        <w:gridCol w:w="120"/>
        <w:gridCol w:w="140"/>
        <w:gridCol w:w="800"/>
        <w:gridCol w:w="60"/>
        <w:gridCol w:w="120"/>
        <w:gridCol w:w="60"/>
        <w:gridCol w:w="560"/>
        <w:gridCol w:w="275"/>
        <w:gridCol w:w="60"/>
        <w:gridCol w:w="140"/>
        <w:gridCol w:w="800"/>
        <w:gridCol w:w="60"/>
        <w:gridCol w:w="120"/>
        <w:gridCol w:w="60"/>
        <w:gridCol w:w="560"/>
        <w:gridCol w:w="29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2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Construction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650,733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377,161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92.5</w:t>
            </w:r>
          </w:p>
        </w:tc>
        <w:tc>
          <w:tcPr>
            <w:tcW w:w="29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Existing infrastructure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6.5</w:t>
            </w:r>
          </w:p>
        </w:tc>
        <w:tc>
          <w:tcPr>
            <w:tcW w:w="29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676,805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407,847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Revenues were positively impacted by $21,266 and $3,825 during the three months ended March 31, 2026 and 2025, respectively, as a result of changes in estimates associated with performance obligations on contracts partially satisfied prior to December 31, 2025 and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aggregate amount of the transaction price allocated to remaining performance obligations was $2,456,236, which is related to the Company’s EPC service contracts. The Company anticipates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the Company recognized revenue of $244,793 and $188,871 related to contract liabilities outstanding as of the end of each respective period end.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6780" w:type="dxa"/>
        <w:jc w:val="left"/>
        <w:tblInd w:w="0" w:type="dxa"/>
        <w:tblLayout w:type="fixed"/>
        <w:tblCellMar>
          <w:top w:w="0" w:type="dxa"/>
          <w:left w:w="0" w:type="dxa"/>
          <w:bottom w:w="0" w:type="dxa"/>
          <w:right w:w="0" w:type="dxa"/>
        </w:tblCellMar>
      </w:tblPr>
      <w:tblGrid>
        <w:gridCol w:w="2840"/>
        <w:gridCol w:w="120"/>
        <w:gridCol w:w="239"/>
        <w:gridCol w:w="1371"/>
        <w:gridCol w:w="60"/>
        <w:gridCol w:w="120"/>
        <w:gridCol w:w="291"/>
        <w:gridCol w:w="1664"/>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157,875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156,744</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157,875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156,744</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double" w:sz="6" w:space="1" w:color="000000"/>
              </w:rPr>
            </w:pPr>
            <w:r>
              <w:rPr>
                <w:bdr w:val="double" w:sz="6" w:space="1" w:color="000000"/>
              </w:rPr>
              <w:t> </w:t>
            </w:r>
          </w:p>
        </w:tc>
        <w:tc>
          <w:tcPr>
            <w:tcW w:w="16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346,224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308,524</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6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346,295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308,619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bdr w:val="double" w:sz="6" w:space="1" w:color="000000"/>
              </w:rPr>
            </w:pPr>
            <w:r>
              <w:rPr>
                <w:bdr w:val="double" w:sz="6" w:space="1" w:color="000000"/>
              </w:rPr>
              <w:t> </w:t>
            </w:r>
          </w:p>
        </w:tc>
        <w:tc>
          <w:tcPr>
            <w:tcW w:w="166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The increase in contract assets for the three months ended March 31, 2026 was primarily attributable to several new projects that commenced in 2026, partially offset by completion of certain projects and the corresponding billings of amounts previously recorded in contract assets.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contract liabilities for the three months ended March 31, 2026 is due primarily to several new large projects that commenced in 2026, timing of billings in relation to costs incurred on certain projects, partially offset by completion of certain projects and satisfaction of performance obligations related to contract amounts previously billed.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305"/>
        <w:gridCol w:w="1880"/>
      </w:tblGrid>
      <w:tr>
        <w:trPr/>
        <w:tc>
          <w:tcPr>
            <w:tcW w:w="305" w:type="dxa"/>
            <w:tcBorders/>
            <w:vAlign w:val="center"/>
          </w:tcPr>
          <w:p>
            <w:pPr>
              <w:pStyle w:val="TableContents"/>
              <w:bidi w:val="0"/>
              <w:spacing w:before="0" w:after="0"/>
              <w:jc w:val="left"/>
              <w:rPr>
                <w:b/>
                <w:spacing w:val="0"/>
              </w:rPr>
            </w:pPr>
            <w:r>
              <w:rPr>
                <w:b/>
                <w:spacing w:val="0"/>
              </w:rPr>
              <w:t>(5)</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In the first quarter of 2026, the Company had a segment change moving from two operating segments to one operating segment to align with how the chief operating decision maker (the “CODM”) manages the business. The Company’s CODM is its Chief Executive Officer. As a result of this change, the Company now has one operating segment and one reportable segment.</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CODM allocates resources and assesses performance of the Company based on consolidated net income (loss), as reported on the condensed consolidated statement of operations, which, as the segment measure of profit or loss that is closest to GAAP, is the required segment measure. The CODM uses this to make decisions regarding the Company’s business, including performance assessments and strategic and operational planning, in compliance with ASC 280, Segment Reporting. Consolidated net loss was $(</w:t>
      </w:r>
    </w:p>
    <w:p>
      <w:pPr>
        <w:pStyle w:val="TextBody"/>
        <w:bidi w:val="0"/>
        <w:spacing w:before="240" w:after="0"/>
        <w:jc w:val="left"/>
        <w:rPr>
          <w:rFonts w:ascii="Times New Roman" w:hAnsi="Times New Roman"/>
          <w:sz w:val="20"/>
        </w:rPr>
      </w:pPr>
      <w:r>
        <w:rPr>
          <w:rFonts w:ascii="Times New Roman" w:hAnsi="Times New Roman"/>
          <w:sz w:val="20"/>
        </w:rPr>
        <w:t xml:space="preserve">23,358)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and $(</w:t>
      </w:r>
    </w:p>
    <w:p>
      <w:pPr>
        <w:pStyle w:val="TextBody"/>
        <w:bidi w:val="0"/>
        <w:spacing w:before="240" w:after="0"/>
        <w:jc w:val="left"/>
        <w:rPr>
          <w:rFonts w:ascii="Times New Roman" w:hAnsi="Times New Roman"/>
          <w:sz w:val="20"/>
        </w:rPr>
      </w:pPr>
      <w:r>
        <w:rPr>
          <w:rFonts w:ascii="Times New Roman" w:hAnsi="Times New Roman"/>
          <w:sz w:val="20"/>
        </w:rPr>
        <w:t>714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for the three months ended March 31, 2026 and 2025, respectively. The CODM is regularly provided with expense categories for the Company’s single operating segment that are the same as the expense captions present in the Company’s condensed consolidated statement of operations. The measure of segment assets is reported on the condensed consolidated balance sheet as total consolidated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305"/>
        <w:gridCol w:w="1505"/>
      </w:tblGrid>
      <w:tr>
        <w:trPr/>
        <w:tc>
          <w:tcPr>
            <w:tcW w:w="305" w:type="dxa"/>
            <w:tcBorders/>
            <w:vAlign w:val="center"/>
          </w:tcPr>
          <w:p>
            <w:pPr>
              <w:pStyle w:val="TableContents"/>
              <w:bidi w:val="0"/>
              <w:spacing w:before="0" w:after="0"/>
              <w:jc w:val="left"/>
              <w:rPr>
                <w:b/>
                <w:spacing w:val="0"/>
              </w:rPr>
            </w:pPr>
            <w:r>
              <w:rPr>
                <w:b/>
                <w:spacing w:val="0"/>
              </w:rPr>
              <w:t>(6)</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7740" w:type="dxa"/>
        <w:jc w:val="left"/>
        <w:tblInd w:w="0" w:type="dxa"/>
        <w:tblLayout w:type="fixed"/>
        <w:tblCellMar>
          <w:top w:w="0" w:type="dxa"/>
          <w:left w:w="0" w:type="dxa"/>
          <w:bottom w:w="0" w:type="dxa"/>
          <w:right w:w="0" w:type="dxa"/>
        </w:tblCellMar>
      </w:tblPr>
      <w:tblGrid>
        <w:gridCol w:w="1985"/>
        <w:gridCol w:w="120"/>
        <w:gridCol w:w="164"/>
        <w:gridCol w:w="1206"/>
        <w:gridCol w:w="60"/>
        <w:gridCol w:w="120"/>
        <w:gridCol w:w="157"/>
        <w:gridCol w:w="898"/>
        <w:gridCol w:w="60"/>
        <w:gridCol w:w="120"/>
        <w:gridCol w:w="188"/>
        <w:gridCol w:w="1182"/>
        <w:gridCol w:w="155"/>
        <w:gridCol w:w="120"/>
        <w:gridCol w:w="168"/>
        <w:gridCol w:w="962"/>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6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2026</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Remaining</w:t>
              <w:b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br/>
              <w:t>Period</w:t>
            </w:r>
          </w:p>
          <w:p>
            <w:pPr>
              <w:pStyle w:val="TableContents"/>
              <w:bidi w:val="0"/>
              <w:spacing w:before="0" w:after="0"/>
              <w:jc w:val="center"/>
              <w:rPr/>
            </w:pPr>
            <w:r>
              <w:rPr/>
            </w:r>
          </w:p>
          <w:p>
            <w:pPr>
              <w:pStyle w:val="TableContents"/>
              <w:bidi w:val="0"/>
              <w:spacing w:before="0" w:after="0"/>
              <w:jc w:val="center"/>
              <w:rPr>
                <w:b/>
                <w:spacing w:val="0"/>
              </w:rPr>
            </w:pPr>
            <w:r>
              <w:rPr>
                <w:b/>
                <w:spacing w:val="0"/>
              </w:rP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 Net</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120,670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(46,031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74,639</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343,900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(161,787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182,113</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(59,528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662</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Patents/Know-How</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(35,903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90,097</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89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2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650,760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(303,249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347,511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89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96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189" w:type="dxa"/>
        <w:jc w:val="left"/>
        <w:tblInd w:w="0" w:type="dxa"/>
        <w:tblLayout w:type="fixed"/>
        <w:tblCellMar>
          <w:top w:w="0" w:type="dxa"/>
          <w:left w:w="0" w:type="dxa"/>
          <w:bottom w:w="0" w:type="dxa"/>
          <w:right w:w="0" w:type="dxa"/>
        </w:tblCellMar>
      </w:tblPr>
      <w:tblGrid>
        <w:gridCol w:w="1985"/>
        <w:gridCol w:w="120"/>
        <w:gridCol w:w="157"/>
        <w:gridCol w:w="898"/>
        <w:gridCol w:w="60"/>
        <w:gridCol w:w="120"/>
        <w:gridCol w:w="188"/>
        <w:gridCol w:w="1182"/>
        <w:gridCol w:w="155"/>
        <w:gridCol w:w="120"/>
        <w:gridCol w:w="168"/>
        <w:gridCol w:w="961"/>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0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w:t>
            </w:r>
          </w:p>
          <w:p>
            <w:pPr>
              <w:pStyle w:val="TableContents"/>
              <w:bidi w:val="0"/>
              <w:spacing w:before="0" w:after="0"/>
              <w:jc w:val="center"/>
              <w:rPr/>
            </w:pPr>
            <w:r>
              <w:rPr/>
            </w:r>
          </w:p>
          <w:p>
            <w:pPr>
              <w:pStyle w:val="TableContents"/>
              <w:bidi w:val="0"/>
              <w:spacing w:before="0" w:after="0"/>
              <w:jc w:val="center"/>
              <w:rPr>
                <w:b/>
                <w:spacing w:val="0"/>
              </w:rPr>
            </w:pPr>
            <w:r>
              <w:rPr>
                <w:b/>
                <w:spacing w:val="0"/>
              </w:rPr>
              <w:t>Assets, Net</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120,670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(43,378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77,292</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343,900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(152,376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191,524</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(58,813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1,377</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Patents/Know-How</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(33,803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92,197</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89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96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650,760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(288,370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362,390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double" w:sz="6" w:space="1" w:color="000000"/>
              </w:rPr>
            </w:pPr>
            <w:r>
              <w:rPr>
                <w:bdr w:val="double" w:sz="6" w:space="1" w:color="000000"/>
              </w:rPr>
              <w:t> </w:t>
            </w:r>
          </w:p>
        </w:tc>
        <w:tc>
          <w:tcPr>
            <w:tcW w:w="89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96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305"/>
        <w:gridCol w:w="1505"/>
      </w:tblGrid>
      <w:tr>
        <w:trPr/>
        <w:tc>
          <w:tcPr>
            <w:tcW w:w="305" w:type="dxa"/>
            <w:tcBorders/>
            <w:vAlign w:val="center"/>
          </w:tcPr>
          <w:p>
            <w:pPr>
              <w:pStyle w:val="TableContents"/>
              <w:bidi w:val="0"/>
              <w:spacing w:before="0" w:after="0"/>
              <w:jc w:val="left"/>
              <w:rPr>
                <w:b/>
                <w:spacing w:val="0"/>
              </w:rPr>
            </w:pPr>
            <w:r>
              <w:rPr>
                <w:b/>
                <w:spacing w:val="0"/>
              </w:rPr>
              <w:t>(7)</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Debt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3095"/>
        <w:gridCol w:w="120"/>
        <w:gridCol w:w="325"/>
        <w:gridCol w:w="745"/>
        <w:gridCol w:w="60"/>
        <w:gridCol w:w="120"/>
        <w:gridCol w:w="210"/>
        <w:gridCol w:w="1205"/>
        <w:gridCol w:w="170"/>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397,128</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(5,140</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single" w:sz="2" w:space="1" w:color="000000"/>
              </w:rPr>
            </w:pPr>
            <w:r>
              <w:rPr>
                <w:bdr w:val="single" w:sz="2" w:space="1" w:color="000000"/>
              </w:rPr>
              <w:t> </w:t>
            </w:r>
          </w:p>
        </w:tc>
        <w:tc>
          <w:tcPr>
            <w:tcW w:w="7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391,988</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double" w:sz="6" w:space="1" w:color="000000"/>
              </w:rPr>
            </w:pPr>
            <w:r>
              <w:rPr>
                <w:bdr w:val="double" w:sz="6" w:space="1" w:color="000000"/>
              </w:rPr>
              <w:t> </w:t>
            </w:r>
          </w:p>
        </w:tc>
        <w:tc>
          <w:tcPr>
            <w:tcW w:w="74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4,063</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(1,565</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single" w:sz="2" w:space="1" w:color="000000"/>
              </w:rPr>
            </w:pPr>
            <w:r>
              <w:rPr>
                <w:bdr w:val="single" w:sz="2" w:space="1" w:color="000000"/>
              </w:rPr>
              <w:t> </w:t>
            </w:r>
          </w:p>
        </w:tc>
        <w:tc>
          <w:tcPr>
            <w:tcW w:w="7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2,498</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double" w:sz="6" w:space="1" w:color="000000"/>
              </w:rPr>
            </w:pPr>
            <w:r>
              <w:rPr>
                <w:bdr w:val="double" w:sz="6" w:space="1" w:color="000000"/>
              </w:rPr>
              <w:t> </w:t>
            </w:r>
          </w:p>
        </w:tc>
        <w:tc>
          <w:tcPr>
            <w:tcW w:w="74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Extinguishment of Term Debt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connection with the completion of the IPO and the application of the net proceeds therefrom, the Company caused SOLV Energy Holdings LLC to terminate its existing term credit agreement and fully repay outstanding term debt of</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approximately $</w:t>
      </w:r>
    </w:p>
    <w:p>
      <w:pPr>
        <w:pStyle w:val="TextBody"/>
        <w:bidi w:val="0"/>
        <w:spacing w:before="120" w:after="0"/>
        <w:jc w:val="left"/>
        <w:rPr>
          <w:rFonts w:ascii="Times New Roman" w:hAnsi="Times New Roman"/>
          <w:sz w:val="20"/>
        </w:rPr>
      </w:pPr>
      <w:r>
        <w:rPr>
          <w:rFonts w:ascii="Times New Roman" w:hAnsi="Times New Roman"/>
          <w:sz w:val="20"/>
        </w:rPr>
        <w:t>401,100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The Company recognized a $</w:t>
      </w:r>
    </w:p>
    <w:p>
      <w:pPr>
        <w:pStyle w:val="TextBody"/>
        <w:bidi w:val="0"/>
        <w:spacing w:before="120" w:after="0"/>
        <w:jc w:val="left"/>
        <w:rPr>
          <w:rFonts w:ascii="Times New Roman" w:hAnsi="Times New Roman"/>
          <w:sz w:val="20"/>
        </w:rPr>
      </w:pPr>
      <w:r>
        <w:rPr>
          <w:rFonts w:ascii="Times New Roman" w:hAnsi="Times New Roman"/>
          <w:sz w:val="20"/>
        </w:rPr>
        <w:t>10,485</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loss on the extinguishment of debt relating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left"/>
        <w:rPr>
          <w:rFonts w:ascii="Times New Roman" w:hAnsi="Times New Roman"/>
          <w:spacing w:val="0"/>
          <w:sz w:val="20"/>
        </w:rPr>
      </w:pPr>
      <w:r>
        <w:rPr>
          <w:rFonts w:ascii="Times New Roman" w:hAnsi="Times New Roman"/>
          <w:spacing w:val="0"/>
          <w:sz w:val="20"/>
        </w:rPr>
        <w:t>of unamortized debt issuance costs of $</w:t>
      </w:r>
    </w:p>
    <w:p>
      <w:pPr>
        <w:pStyle w:val="TextBody"/>
        <w:bidi w:val="0"/>
        <w:spacing w:before="120" w:after="0"/>
        <w:jc w:val="left"/>
        <w:rPr>
          <w:rFonts w:ascii="Times New Roman" w:hAnsi="Times New Roman"/>
          <w:sz w:val="20"/>
        </w:rPr>
      </w:pPr>
      <w:r>
        <w:rPr>
          <w:rFonts w:ascii="Times New Roman" w:hAnsi="Times New Roman"/>
          <w:sz w:val="20"/>
        </w:rPr>
        <w:t>6,419</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 prepayment penalty of $</w:t>
      </w:r>
    </w:p>
    <w:p>
      <w:pPr>
        <w:pStyle w:val="TextBody"/>
        <w:bidi w:val="0"/>
        <w:spacing w:before="120" w:after="0"/>
        <w:jc w:val="left"/>
        <w:rPr>
          <w:rFonts w:ascii="Times New Roman" w:hAnsi="Times New Roman"/>
          <w:sz w:val="20"/>
        </w:rPr>
      </w:pPr>
      <w:r>
        <w:rPr>
          <w:rFonts w:ascii="Times New Roman" w:hAnsi="Times New Roman"/>
          <w:sz w:val="20"/>
        </w:rPr>
        <w:t>4,066</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spacing w:val="0"/>
        </w:rPr>
      </w:pPr>
      <w:r>
        <w:rPr>
          <w:spacing w:val="0"/>
        </w:rPr>
        <w: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Revolving Credit Facility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February 12, 2026, in connection with the IPO, the Company terminated its existing revolving credit facility (the “Old Revolver”) and entered into a New Revolving Credit Facility (the “New Revolver”) with various lenders providing for revolving borrowings in an aggregate principal amount of $200,000. The obligations under the New Revolver are secured by substantially all of the assets of the Company and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subsidiaries.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New Revolver matures on February 12, 2031 and is subject to the usual and customary affirmative and negative covenants for facilities and transactions of this type. The New Revolver bears interest at a rate per annum equal to either of the following, plus, in each case, an applicable margin ranging from </w:t>
      </w:r>
    </w:p>
    <w:p>
      <w:pPr>
        <w:pStyle w:val="TextBody"/>
        <w:bidi w:val="0"/>
        <w:spacing w:before="240" w:after="0"/>
        <w:jc w:val="left"/>
        <w:rPr>
          <w:rFonts w:ascii="Times New Roman" w:hAnsi="Times New Roman"/>
          <w:sz w:val="20"/>
        </w:rPr>
      </w:pPr>
      <w:r>
        <w:rPr>
          <w:rFonts w:ascii="Times New Roman" w:hAnsi="Times New Roman"/>
          <w:sz w:val="20"/>
        </w:rPr>
        <w:t>0.50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bidi w:val="0"/>
        <w:spacing w:before="240" w:after="0"/>
        <w:jc w:val="left"/>
        <w:rPr>
          <w:rFonts w:ascii="Times New Roman" w:hAnsi="Times New Roman"/>
          <w:sz w:val="20"/>
        </w:rPr>
      </w:pPr>
      <w:r>
        <w:rPr>
          <w:rFonts w:ascii="Times New Roman" w:hAnsi="Times New Roman"/>
          <w:sz w:val="20"/>
        </w:rPr>
        <w:t>1.25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with respect base rate borrowings and </w:t>
      </w:r>
    </w:p>
    <w:p>
      <w:pPr>
        <w:pStyle w:val="TextBody"/>
        <w:bidi w:val="0"/>
        <w:spacing w:before="240" w:after="0"/>
        <w:jc w:val="left"/>
        <w:rPr>
          <w:rFonts w:ascii="Times New Roman" w:hAnsi="Times New Roman"/>
          <w:sz w:val="20"/>
        </w:rPr>
      </w:pPr>
      <w:r>
        <w:rPr>
          <w:rFonts w:ascii="Times New Roman" w:hAnsi="Times New Roman"/>
          <w:sz w:val="20"/>
        </w:rPr>
        <w:t>1.50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bidi w:val="0"/>
        <w:spacing w:before="240" w:after="0"/>
        <w:jc w:val="left"/>
        <w:rPr>
          <w:rFonts w:ascii="Times New Roman" w:hAnsi="Times New Roman"/>
          <w:sz w:val="20"/>
        </w:rPr>
      </w:pPr>
      <w:r>
        <w:rPr>
          <w:rFonts w:ascii="Times New Roman" w:hAnsi="Times New Roman"/>
          <w:sz w:val="20"/>
        </w:rPr>
        <w:t>2.25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with respect to SOFR borrowings, in each case, based on our total net leverage ratio: (a) the base rate and (b) a benchmark reference rate. The New Revolver is subject to an annual unused line fee which shall accrue at a rate ranging from </w:t>
      </w:r>
    </w:p>
    <w:p>
      <w:pPr>
        <w:pStyle w:val="TextBody"/>
        <w:bidi w:val="0"/>
        <w:spacing w:before="240" w:after="0"/>
        <w:jc w:val="left"/>
        <w:rPr>
          <w:rFonts w:ascii="Times New Roman" w:hAnsi="Times New Roman"/>
          <w:sz w:val="20"/>
        </w:rPr>
      </w:pPr>
      <w:r>
        <w:rPr>
          <w:rFonts w:ascii="Times New Roman" w:hAnsi="Times New Roman"/>
          <w:sz w:val="20"/>
        </w:rPr>
        <w:t>0.20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bidi w:val="0"/>
        <w:spacing w:before="240" w:after="0"/>
        <w:jc w:val="left"/>
        <w:rPr>
          <w:rFonts w:ascii="Times New Roman" w:hAnsi="Times New Roman"/>
          <w:sz w:val="20"/>
        </w:rPr>
      </w:pPr>
      <w:r>
        <w:rPr>
          <w:rFonts w:ascii="Times New Roman" w:hAnsi="Times New Roman"/>
          <w:sz w:val="20"/>
        </w:rPr>
        <w:t>0.35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based on the total net leverage ratio. For additional information regarding the terms of the New Revolver, including interest rates, maturities, covenants and collateral, refer to Note 8—Debt Obligations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year ended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SOLV Energy,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As </w:t>
      </w:r>
    </w:p>
    <w:p>
      <w:pPr>
        <w:pStyle w:val="TextBody"/>
        <w:bidi w:val="0"/>
        <w:spacing w:before="0" w:after="0"/>
        <w:jc w:val="left"/>
        <w:rPr>
          <w:rFonts w:ascii="Times New Roman" w:hAnsi="Times New Roman"/>
          <w:sz w:val="20"/>
        </w:rPr>
      </w:pPr>
      <w:r>
        <w:rPr>
          <w:rFonts w:ascii="Times New Roman" w:hAnsi="Times New Roman"/>
          <w:sz w:val="20"/>
        </w:rPr>
        <w:t xml:space="preserve">of March 31, 2026, there were no borrowings outstanding under the New Revolver and $8,453 of letters of credit were outstanding.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Old</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Revolver was legally terminated and replaced with the New Revolver</w:t>
      </w:r>
    </w:p>
    <w:p>
      <w:pPr>
        <w:pStyle w:val="TextBody"/>
        <w:bidi w:val="0"/>
        <w:spacing w:before="240" w:after="0"/>
        <w:jc w:val="left"/>
        <w:rPr>
          <w:rFonts w:ascii="Times New Roman" w:hAnsi="Times New Roman"/>
          <w:spacing w:val="0"/>
          <w:sz w:val="20"/>
        </w:rPr>
      </w:pPr>
      <w:r>
        <w:rPr>
          <w:rFonts w:ascii="Times New Roman" w:hAnsi="Times New Roman"/>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 the Company accounted fo</w:t>
      </w:r>
    </w:p>
    <w:p>
      <w:pPr>
        <w:pStyle w:val="TextBody"/>
        <w:bidi w:val="0"/>
        <w:spacing w:before="240" w:after="0"/>
        <w:jc w:val="left"/>
        <w:rPr>
          <w:rFonts w:ascii="Times New Roman" w:hAnsi="Times New Roman"/>
          <w:spacing w:val="0"/>
          <w:sz w:val="20"/>
        </w:rPr>
      </w:pPr>
      <w:r>
        <w:rPr>
          <w:rFonts w:ascii="Times New Roman" w:hAnsi="Times New Roman"/>
          <w:spacing w:val="0"/>
          <w:sz w:val="20"/>
        </w:rPr>
        <w:t>r the repl</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acement as a modification of a revolving-debt arrangement. The analysis was based on a comparison of borrowing capacity under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Old</w:t>
      </w:r>
    </w:p>
    <w:p>
      <w:pPr>
        <w:pStyle w:val="TextBody"/>
        <w:bidi w:val="0"/>
        <w:spacing w:before="240" w:after="0"/>
        <w:jc w:val="left"/>
        <w:rPr>
          <w:spacing w:val="0"/>
        </w:rPr>
      </w:pPr>
      <w:r>
        <w:rPr>
          <w:spacing w:val="0"/>
        </w:rPr>
        <w:t> </w:t>
      </w:r>
      <w:r>
        <w:rPr>
          <w:rFonts w:ascii="Times New Roman" w:hAnsi="Times New Roman"/>
          <w:spacing w:val="0"/>
          <w:sz w:val="20"/>
        </w:rPr>
        <w:t>Revolver and the New Revolver. Accordingly, the unamortized deferred financing costs of $</w:t>
      </w:r>
    </w:p>
    <w:p>
      <w:pPr>
        <w:pStyle w:val="TextBody"/>
        <w:bidi w:val="0"/>
        <w:spacing w:before="240" w:after="0"/>
        <w:jc w:val="left"/>
        <w:rPr>
          <w:rFonts w:ascii="Times New Roman" w:hAnsi="Times New Roman"/>
          <w:sz w:val="20"/>
        </w:rPr>
      </w:pPr>
      <w:r>
        <w:rPr>
          <w:rFonts w:ascii="Times New Roman" w:hAnsi="Times New Roman"/>
          <w:sz w:val="20"/>
        </w:rPr>
        <w:t>1,598</w:t>
      </w:r>
    </w:p>
    <w:p>
      <w:pPr>
        <w:pStyle w:val="TextBody"/>
        <w:bidi w:val="0"/>
        <w:spacing w:before="240" w:after="0"/>
        <w:jc w:val="left"/>
        <w:rPr>
          <w:rFonts w:ascii="Times New Roman" w:hAnsi="Times New Roman"/>
          <w:spacing w:val="0"/>
          <w:sz w:val="20"/>
        </w:rPr>
      </w:pPr>
      <w:r>
        <w:rPr>
          <w:rFonts w:ascii="Times New Roman" w:hAnsi="Times New Roman"/>
          <w:spacing w:val="0"/>
          <w:sz w:val="20"/>
        </w:rPr>
        <w:t>associated with the</w:t>
      </w:r>
    </w:p>
    <w:p>
      <w:pPr>
        <w:pStyle w:val="TextBody"/>
        <w:bidi w:val="0"/>
        <w:spacing w:before="240" w:after="0"/>
        <w:jc w:val="left"/>
        <w:rPr>
          <w:spacing w:val="0"/>
        </w:rPr>
      </w:pPr>
      <w:r>
        <w:rPr>
          <w:spacing w:val="0"/>
        </w:rPr>
        <w:t> </w:t>
      </w:r>
      <w:r>
        <w:rPr>
          <w:rFonts w:ascii="Times New Roman" w:hAnsi="Times New Roman"/>
          <w:spacing w:val="0"/>
          <w:sz w:val="20"/>
        </w:rPr>
        <w:t>Old</w:t>
      </w:r>
    </w:p>
    <w:p>
      <w:pPr>
        <w:pStyle w:val="TextBody"/>
        <w:bidi w:val="0"/>
        <w:spacing w:before="240" w:after="0"/>
        <w:jc w:val="left"/>
        <w:rPr>
          <w:spacing w:val="0"/>
        </w:rPr>
      </w:pPr>
      <w:r>
        <w:rPr>
          <w:spacing w:val="0"/>
        </w:rPr>
        <w:t> </w:t>
      </w:r>
      <w:r>
        <w:rPr>
          <w:rFonts w:ascii="Times New Roman" w:hAnsi="Times New Roman"/>
          <w:spacing w:val="0"/>
          <w:sz w:val="20"/>
        </w:rPr>
        <w:t>Revolver continue to be deferred and are amortized over the term of the New Revolver.</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entry into the New Revolver, the Company incurred approximately $2,919 of lender and third-party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fees.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ind w:left="0" w:right="0" w:hanging="0"/>
        <w:jc w:val="left"/>
        <w:rPr>
          <w:spacing w:val="0"/>
        </w:rPr>
      </w:pPr>
      <w:r>
        <w:rPr>
          <w:spacing w:val="0"/>
        </w:rPr>
        <w:t> </w:t>
      </w:r>
    </w:p>
    <w:tbl>
      <w:tblPr>
        <w:tblW w:w="3295" w:type="dxa"/>
        <w:jc w:val="left"/>
        <w:tblInd w:w="0" w:type="dxa"/>
        <w:tblLayout w:type="fixed"/>
        <w:tblCellMar>
          <w:top w:w="0" w:type="dxa"/>
          <w:left w:w="0" w:type="dxa"/>
          <w:bottom w:w="0" w:type="dxa"/>
          <w:right w:w="0" w:type="dxa"/>
        </w:tblCellMar>
      </w:tblPr>
      <w:tblGrid>
        <w:gridCol w:w="305"/>
        <w:gridCol w:w="2990"/>
      </w:tblGrid>
      <w:tr>
        <w:trPr/>
        <w:tc>
          <w:tcPr>
            <w:tcW w:w="305" w:type="dxa"/>
            <w:tcBorders/>
            <w:vAlign w:val="center"/>
          </w:tcPr>
          <w:p>
            <w:pPr>
              <w:pStyle w:val="TableContents"/>
              <w:bidi w:val="0"/>
              <w:spacing w:before="0" w:after="0"/>
              <w:jc w:val="left"/>
              <w:rPr>
                <w:b/>
                <w:spacing w:val="0"/>
              </w:rPr>
            </w:pPr>
            <w:r>
              <w:rPr>
                <w:b/>
                <w:spacing w:val="0"/>
              </w:rPr>
              <w:t>(8)</w:t>
            </w:r>
          </w:p>
        </w:tc>
        <w:tc>
          <w:tcPr>
            <w:tcW w:w="29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and Tax Receivable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Agreement</w:t>
            </w:r>
          </w:p>
        </w:tc>
      </w:tr>
    </w:tbl>
    <w:p>
      <w:pPr>
        <w:pStyle w:val="TextBody"/>
        <w:bidi w:val="0"/>
        <w:spacing w:before="120" w:after="0"/>
        <w:ind w:left="0" w:right="0" w:hanging="0"/>
        <w:jc w:val="left"/>
        <w:rPr>
          <w:sz w:val="20"/>
        </w:rPr>
      </w:pPr>
      <w:r>
        <w:rPr>
          <w:sz w:val="20"/>
        </w:rPr>
        <w:t xml:space="preserve">The Company is organized as a corporation for income tax purposes and is subject to federal, state and local taxes on its income, which is primarily sourced from its membership interest in SOLV Energy Holdings LLC held for any given reporting period. SOLV Energy Holdings LLC is a partnership for U.S. federal income tax purposes and, as a result, its members, including the Company, will pay income taxes with respect to their allocable shares of its taxable income. </w:t>
      </w:r>
    </w:p>
    <w:p>
      <w:pPr>
        <w:pStyle w:val="TextBody"/>
        <w:bidi w:val="0"/>
        <w:spacing w:before="240" w:after="0"/>
        <w:jc w:val="left"/>
        <w:rPr>
          <w:sz w:val="20"/>
        </w:rPr>
      </w:pPr>
      <w:r>
        <w:rPr>
          <w:sz w:val="20"/>
        </w:rPr>
        <w:t xml:space="preserve">As of March 31, 2026, the Company had deferred tax assets of $101,302 and a deferred tax liability of $5,339. For the three months ended March 31, 2026, the Company’s effective tax rate was -17.9%. The difference between the estimated annual effective income tax rate and the U.S. federal statutory rate is primarily attributable to the tax effect of stock based compensation and the exclusion of tax related to </w:t>
      </w:r>
    </w:p>
    <w:p>
      <w:pPr>
        <w:pStyle w:val="TextBody"/>
        <w:bidi w:val="0"/>
        <w:spacing w:before="240" w:after="0"/>
        <w:jc w:val="left"/>
        <w:rPr>
          <w:spacing w:val="0"/>
          <w:sz w:val="20"/>
        </w:rPr>
      </w:pPr>
      <w:r>
        <w:rPr>
          <w:spacing w:val="0"/>
          <w:sz w:val="20"/>
        </w:rPr>
        <w:t>non-controlling</w:t>
      </w:r>
    </w:p>
    <w:p>
      <w:pPr>
        <w:pStyle w:val="TextBody"/>
        <w:bidi w:val="0"/>
        <w:spacing w:before="240" w:after="0"/>
        <w:jc w:val="left"/>
        <w:rPr>
          <w:sz w:val="20"/>
        </w:rPr>
      </w:pPr>
      <w:r>
        <w:rPr>
          <w:sz w:val="20"/>
        </w:rPr>
        <w:t xml:space="preserve">interests. </w:t>
      </w:r>
    </w:p>
    <w:p>
      <w:pPr>
        <w:pStyle w:val="TextBody"/>
        <w:bidi w:val="0"/>
        <w:spacing w:before="240" w:after="0"/>
        <w:jc w:val="left"/>
        <w:rPr>
          <w:sz w:val="20"/>
        </w:rPr>
      </w:pPr>
      <w:r>
        <w:rPr>
          <w:sz w:val="20"/>
        </w:rPr>
        <w:t xml:space="preserve">The Company’s income tax provision was $4,166 for the period from February 12, 2026, to March 31, 2026. </w:t>
      </w:r>
    </w:p>
    <w:p>
      <w:pPr>
        <w:pStyle w:val="TextBody"/>
        <w:bidi w:val="0"/>
        <w:spacing w:before="240" w:after="0"/>
        <w:jc w:val="left"/>
        <w:rPr>
          <w:sz w:val="20"/>
        </w:rPr>
      </w:pPr>
      <w:r>
        <w:rPr>
          <w:sz w:val="20"/>
        </w:rPr>
        <w:t xml:space="preserve">On February 12, 2026, the Company recorded a net deferred tax asset of $101,302 related to (i) the temporary difference between the book and tax basis of its investment in SOLV Energy Holdings LLC of $69,866, (ii) $19,423 of tax benefits from future deductions attributable to payments under the Tax Receivable Agreements, and (iii) $12,005 tax deductions for NOL carryovers as a result of the Blocker Companies merger. </w:t>
      </w:r>
    </w:p>
    <w:p>
      <w:pPr>
        <w:pStyle w:val="TextBody"/>
        <w:bidi w:val="0"/>
        <w:spacing w:before="240" w:after="0"/>
        <w:jc w:val="left"/>
        <w:rPr>
          <w:sz w:val="20"/>
        </w:rPr>
      </w:pPr>
      <w:r>
        <w:rPr>
          <w:sz w:val="20"/>
        </w:rPr>
        <w:t xml:space="preserve">The initial deferred tax asset were recorded as adjustments to additional </w:t>
      </w:r>
    </w:p>
    <w:p>
      <w:pPr>
        <w:pStyle w:val="TextBody"/>
        <w:bidi w:val="0"/>
        <w:spacing w:before="240" w:after="0"/>
        <w:jc w:val="left"/>
        <w:rPr>
          <w:spacing w:val="0"/>
          <w:sz w:val="20"/>
        </w:rPr>
      </w:pPr>
      <w:r>
        <w:rPr>
          <w:spacing w:val="0"/>
          <w:sz w:val="20"/>
        </w:rPr>
        <w:t>paid-in</w:t>
      </w:r>
    </w:p>
    <w:p>
      <w:pPr>
        <w:pStyle w:val="TextBody"/>
        <w:bidi w:val="0"/>
        <w:spacing w:before="240" w:after="0"/>
        <w:jc w:val="left"/>
        <w:rPr>
          <w:sz w:val="20"/>
        </w:rPr>
      </w:pPr>
      <w:r>
        <w:rPr>
          <w:sz w:val="20"/>
        </w:rPr>
        <w:t xml:space="preserve">capital in the condensed consolidated balance sheet as of March 31, 2026. Additionally, and concurrent with the Transactions, the Company recorded a liability pursuant to the TRA of $172,344 and a corresponding reduction to additional </w:t>
      </w:r>
    </w:p>
    <w:p>
      <w:pPr>
        <w:pStyle w:val="TextBody"/>
        <w:bidi w:val="0"/>
        <w:spacing w:before="240" w:after="0"/>
        <w:jc w:val="left"/>
        <w:rPr>
          <w:spacing w:val="0"/>
          <w:sz w:val="20"/>
        </w:rPr>
      </w:pPr>
      <w:r>
        <w:rPr>
          <w:spacing w:val="0"/>
          <w:sz w:val="20"/>
        </w:rPr>
        <w:t>paid-in</w:t>
      </w:r>
    </w:p>
    <w:p>
      <w:pPr>
        <w:pStyle w:val="TextBody"/>
        <w:bidi w:val="0"/>
        <w:spacing w:before="240" w:after="0"/>
        <w:jc w:val="left"/>
        <w:rPr>
          <w:sz w:val="20"/>
        </w:rPr>
      </w:pPr>
      <w:r>
        <w:rPr>
          <w:sz w:val="20"/>
        </w:rPr>
        <w:t xml:space="preserve">capital. The net impact to additional </w:t>
      </w:r>
    </w:p>
    <w:p>
      <w:pPr>
        <w:pStyle w:val="TextBody"/>
        <w:bidi w:val="0"/>
        <w:spacing w:before="240" w:after="0"/>
        <w:jc w:val="left"/>
        <w:rPr>
          <w:spacing w:val="0"/>
          <w:sz w:val="20"/>
        </w:rPr>
      </w:pPr>
      <w:r>
        <w:rPr>
          <w:spacing w:val="0"/>
          <w:sz w:val="20"/>
        </w:rPr>
        <w:t>paid-in</w:t>
      </w:r>
    </w:p>
    <w:p>
      <w:pPr>
        <w:pStyle w:val="TextBody"/>
        <w:bidi w:val="0"/>
        <w:spacing w:before="240" w:after="0"/>
        <w:jc w:val="left"/>
        <w:rPr>
          <w:sz w:val="20"/>
        </w:rPr>
      </w:pPr>
      <w:r>
        <w:rPr>
          <w:sz w:val="20"/>
        </w:rPr>
        <w:t xml:space="preserve">capital was a reduction of $71,042 and is presented within the Company’s condensed consolidated statements of stockholders’ equity. </w:t>
      </w:r>
    </w:p>
    <w:p>
      <w:pPr>
        <w:pStyle w:val="TextBody"/>
        <w:bidi w:val="0"/>
        <w:spacing w:before="240" w:after="0"/>
        <w:jc w:val="left"/>
        <w:rPr>
          <w:sz w:val="20"/>
        </w:rPr>
      </w:pPr>
      <w:r>
        <w:rPr>
          <w:sz w:val="20"/>
        </w:rPr>
        <w:t xml:space="preserve">In connection with the IPO and the Transactions, the Company entered into the TRA with the Continuing Equity Owners that provides for the payment by the Company to such the Continuing Equity Owners of 85% of the benefits, that the Company realizes, or is deemed to realize, as a result of the Company’s allocable share of existing tax basis acquired in its IPO and other tax benefits related to entering into the TRA. </w:t>
      </w:r>
    </w:p>
    <w:p>
      <w:pPr>
        <w:pStyle w:val="TextBody"/>
        <w:bidi w:val="0"/>
        <w:spacing w:before="0" w:after="0"/>
        <w:jc w:val="left"/>
        <w:rPr/>
      </w:pPr>
      <w:r>
        <w:rPr/>
        <w:t> </w:t>
      </w:r>
    </w:p>
    <w:p>
      <w:pPr>
        <w:pStyle w:val="TextBody"/>
        <w:bidi w:val="0"/>
        <w:spacing w:before="0" w:after="0"/>
        <w:jc w:val="center"/>
        <w:rPr>
          <w:sz w:val="20"/>
        </w:rPr>
      </w:pPr>
      <w:r>
        <w:rPr>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05"/>
        <w:gridCol w:w="2375"/>
      </w:tblGrid>
      <w:tr>
        <w:trPr/>
        <w:tc>
          <w:tcPr>
            <w:tcW w:w="305" w:type="dxa"/>
            <w:tcBorders/>
            <w:vAlign w:val="center"/>
          </w:tcPr>
          <w:p>
            <w:pPr>
              <w:pStyle w:val="TableContents"/>
              <w:bidi w:val="0"/>
              <w:spacing w:before="0" w:after="0"/>
              <w:jc w:val="left"/>
              <w:rPr>
                <w:b/>
                <w:spacing w:val="0"/>
              </w:rPr>
            </w:pPr>
            <w:r>
              <w:rPr>
                <w:b/>
                <w:spacing w:val="0"/>
              </w:rPr>
              <w:t>(9)</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stockholders approved the 2026 Equity Incentive Plan (the “2026 Plan”), which became effective on February 12, 2026. The 2026 Plan is administered by the Corporation’s board of directors or a committee thereof and provides for customary limitations, including an annual compensation limit applicable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The 2026 Plan provides for the issuance of up to 7,500,000 shares of Class A common stock for equity-based awards, including stock options, stock appreciation rights, restricted stock, restricted stock units and other stock-based awards,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 As of March 31, 2026, 4,161,554 shares of Class A common stock are available for future grant under the 2026 Plan.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(“RSA”)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connection with the IPO on February 12, 2026, the Company granted an aggregate of </w:t>
      </w:r>
    </w:p>
    <w:p>
      <w:pPr>
        <w:pStyle w:val="TextBody"/>
        <w:bidi w:val="0"/>
        <w:spacing w:before="120" w:after="0"/>
        <w:jc w:val="left"/>
        <w:rPr>
          <w:rFonts w:ascii="Times New Roman" w:hAnsi="Times New Roman"/>
          <w:sz w:val="20"/>
        </w:rPr>
      </w:pPr>
      <w:r>
        <w:rPr>
          <w:rFonts w:ascii="Times New Roman" w:hAnsi="Times New Roman"/>
          <w:sz w:val="20"/>
        </w:rPr>
        <w:t xml:space="preserve">261,000 shares of RSAs to certain of the Company’s executives and employees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in conjunction with the 2026 Plan with an aggregate grant date fair value of $6,525. The RSA awards were granted to all employees with at least one year of service with a grant date value of $5 based on the IPO price. The RSAs vest on the third anniversary of the completion of the IPO, subject to continued employment on such date. Additionally, vesting is subject to certain change in control and termination provisions as provided in the award agreements. No RSAs have been granted after the IPO. During the three months ended March 31, 2026, 3,600 restricted stock awards were forfeited.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all the RSAs are outstanding and remain unvested. The fair value of the RSAs of $25.00 per unit was based on the fair value of a share of Class A common stock at the time of the IPO. Total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for RSAs was approximately $276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period from February 12, 2026, to March 31, 2026, and is included in “Cost of revenue” and “Selling, general and administrative expenses” in the condensed consolidated statement of operations for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unamortized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cost related to RSAs of approximately $6,159 as of March 31, 2026 expected to be recognized over a weighted-average period of approximately 2.9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on February 12, 2026, </w:t>
      </w:r>
    </w:p>
    <w:p>
      <w:pPr>
        <w:pStyle w:val="TextBody"/>
        <w:bidi w:val="0"/>
        <w:spacing w:before="120" w:after="0"/>
        <w:jc w:val="left"/>
        <w:rPr>
          <w:rFonts w:ascii="Times New Roman" w:hAnsi="Times New Roman"/>
          <w:sz w:val="20"/>
        </w:rPr>
      </w:pPr>
      <w:r>
        <w:rPr>
          <w:rFonts w:ascii="Times New Roman" w:hAnsi="Times New Roman"/>
          <w:sz w:val="20"/>
        </w:rPr>
        <w:t xml:space="preserve">the </w:t>
      </w:r>
    </w:p>
    <w:p>
      <w:pPr>
        <w:pStyle w:val="TextBody"/>
        <w:bidi w:val="0"/>
        <w:spacing w:before="120" w:after="0"/>
        <w:jc w:val="left"/>
        <w:rPr>
          <w:rFonts w:ascii="Times New Roman" w:hAnsi="Times New Roman"/>
          <w:sz w:val="20"/>
        </w:rPr>
      </w:pPr>
      <w:r>
        <w:rPr>
          <w:rFonts w:ascii="Times New Roman" w:hAnsi="Times New Roman"/>
          <w:sz w:val="20"/>
        </w:rPr>
        <w:t xml:space="preserve">Company granted an aggregate of 3,077,446 stock options exercisable for shares of Class A common stock with an exercise price per share of $25.00 based on the fair value at the time of the IPO. These option grants were issued pursuant to the 2026 Equity Incentive Plan in connection with the conversion of legacy Class C profits interests of SOLV Energy Holdings LLC into LLC Units effected at the IPO, as described in the Company’s prospectus dated February 11, 2026. The options will vest in three equal annual installments over the three-year period following the IPO, subject to continued employment through the vesting date. Additionally, vesting is subject to certain change in control and termination provisions as provided in the award agreements. During the three months ended March 31, 2026, 4,908 stock options were forfeited.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all the stock options are outstanding and remain unvested. Total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for the stock options was approximately $1,583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period from February 12, 2026, to March 31, 2026, and is included in “Cost of revenue” and “Selling, general and administrative expenses” in the condensed consolidated statement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unamortized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0" w:after="0"/>
        <w:jc w:val="left"/>
        <w:rPr>
          <w:rFonts w:ascii="Times New Roman" w:hAnsi="Times New Roman"/>
          <w:sz w:val="20"/>
        </w:rPr>
      </w:pPr>
      <w:r>
        <w:rPr>
          <w:rFonts w:ascii="Times New Roman" w:hAnsi="Times New Roman"/>
          <w:sz w:val="20"/>
        </w:rPr>
        <w:t xml:space="preserve">compensation cost related to stock options was approximately $35,288 as of March 31, 2026 expected to be recognized over a weighted-average period of approximately 2.9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fair value of stock options on the date of grant using the Black-Scholes option pricing model. The Black-Scholes option-pricing model requires estimates of highly subjective assumptions, which greatly affect the fair value of each stock option. The weighted-average assumptions used to estimate the fair value of stock options granted during the three months ended March 31, 2026 were as follows: </w:t>
      </w:r>
    </w:p>
    <w:p>
      <w:pPr>
        <w:pStyle w:val="TextBody"/>
        <w:bidi w:val="0"/>
        <w:spacing w:before="0" w:after="0"/>
        <w:jc w:val="left"/>
        <w:rPr/>
      </w:pPr>
      <w:r>
        <w:rPr/>
        <w:t> </w:t>
      </w:r>
    </w:p>
    <w:tbl>
      <w:tblPr>
        <w:tblW w:w="6465" w:type="dxa"/>
        <w:jc w:val="left"/>
        <w:tblInd w:w="0" w:type="dxa"/>
        <w:tblLayout w:type="fixed"/>
        <w:tblCellMar>
          <w:top w:w="0" w:type="dxa"/>
          <w:left w:w="0" w:type="dxa"/>
          <w:bottom w:w="0" w:type="dxa"/>
          <w:right w:w="0" w:type="dxa"/>
        </w:tblCellMar>
      </w:tblPr>
      <w:tblGrid>
        <w:gridCol w:w="2120"/>
        <w:gridCol w:w="120"/>
        <w:gridCol w:w="472"/>
        <w:gridCol w:w="3463"/>
        <w:gridCol w:w="290"/>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Ending March 31, 2026</w:t>
            </w:r>
          </w:p>
        </w:tc>
        <w:tc>
          <w:tcPr>
            <w:tcW w:w="29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stock option</w:t>
            </w:r>
          </w:p>
        </w:tc>
        <w:tc>
          <w:tcPr>
            <w:tcW w:w="12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3463" w:type="dxa"/>
            <w:tcBorders/>
            <w:shd w:fill="CCEEFF" w:val="clear"/>
            <w:vAlign w:val="center"/>
          </w:tcPr>
          <w:p>
            <w:pPr>
              <w:pStyle w:val="TableContents"/>
              <w:bidi w:val="0"/>
              <w:spacing w:before="0" w:after="283"/>
              <w:jc w:val="right"/>
              <w:rPr/>
            </w:pPr>
            <w:r>
              <w:rPr/>
              <w:t>12.0</w:t>
            </w:r>
          </w:p>
        </w:tc>
        <w:tc>
          <w:tcPr>
            <w:tcW w:w="29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3463" w:type="dxa"/>
            <w:tcBorders/>
            <w:vAlign w:val="center"/>
          </w:tcPr>
          <w:p>
            <w:pPr>
              <w:pStyle w:val="TableContents"/>
              <w:bidi w:val="0"/>
              <w:spacing w:before="0" w:after="283"/>
              <w:jc w:val="right"/>
              <w:rPr/>
            </w:pPr>
            <w:r>
              <w:rPr/>
              <w:t>3.78</w:t>
            </w:r>
          </w:p>
        </w:tc>
        <w:tc>
          <w:tcPr>
            <w:tcW w:w="29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(years)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3463" w:type="dxa"/>
            <w:tcBorders/>
            <w:shd w:fill="CCEEFF" w:val="clear"/>
            <w:vAlign w:val="center"/>
          </w:tcPr>
          <w:p>
            <w:pPr>
              <w:pStyle w:val="TableContents"/>
              <w:bidi w:val="0"/>
              <w:spacing w:before="0" w:after="283"/>
              <w:jc w:val="right"/>
              <w:rPr/>
            </w:pPr>
            <w:r>
              <w:rPr/>
              <w:t>6.5</w:t>
            </w:r>
          </w:p>
        </w:tc>
        <w:tc>
          <w:tcPr>
            <w:tcW w:w="29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346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3463"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sz w:val="12"/>
              </w:rPr>
            </w:pPr>
            <w:r>
              <w:rPr>
                <w:sz w:val="12"/>
              </w:rPr>
              <w:t>(i)</w:t>
            </w:r>
          </w:p>
        </w:tc>
        <w:tc>
          <w:tcPr>
            <w:tcW w:w="10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life (years): The expected life was estimated using the simplified method due to a lack of historical exercise activity for the Company. The simplified method calculates the expected life as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mid-point</w:t>
            </w:r>
          </w:p>
          <w:p>
            <w:pPr>
              <w:pStyle w:val="TableContents"/>
              <w:bidi w:val="0"/>
              <w:spacing w:before="0" w:after="0"/>
              <w:jc w:val="left"/>
              <w:rPr>
                <w:rFonts w:ascii="Times New Roman" w:hAnsi="Times New Roman"/>
                <w:sz w:val="20"/>
              </w:rPr>
            </w:pPr>
            <w:r>
              <w:rPr>
                <w:rFonts w:ascii="Times New Roman" w:hAnsi="Times New Roman"/>
                <w:sz w:val="20"/>
              </w:rPr>
              <w:t xml:space="preserve">between the vesting date and the contractual expiration date of the award.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Unit Appreciation (“RUA”) Plan </w:t>
      </w:r>
    </w:p>
    <w:p>
      <w:pPr>
        <w:pStyle w:val="TextBody"/>
        <w:bidi w:val="0"/>
        <w:spacing w:before="120" w:after="0"/>
        <w:jc w:val="left"/>
        <w:rPr>
          <w:rFonts w:ascii="Times New Roman" w:hAnsi="Times New Roman"/>
          <w:sz w:val="20"/>
        </w:rPr>
      </w:pPr>
      <w:r>
        <w:rPr>
          <w:rFonts w:ascii="Times New Roman" w:hAnsi="Times New Roman"/>
          <w:sz w:val="20"/>
        </w:rPr>
        <w:t xml:space="preserve">At the completion of the IPO, all of the RUA awards have vested and will be settled in cash on December 23, 2026, based on the fair market value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w:t>
      </w:r>
    </w:p>
    <w:p>
      <w:pPr>
        <w:pStyle w:val="TextBody"/>
        <w:bidi w:val="0"/>
        <w:spacing w:before="120" w:after="0"/>
        <w:jc w:val="left"/>
        <w:rPr>
          <w:rFonts w:ascii="Times New Roman" w:hAnsi="Times New Roman"/>
          <w:sz w:val="20"/>
        </w:rPr>
      </w:pPr>
      <w:r>
        <w:rPr>
          <w:rFonts w:ascii="Times New Roman" w:hAnsi="Times New Roman"/>
          <w:sz w:val="20"/>
        </w:rPr>
        <w:t xml:space="preserve">the Class A common stock on such date. Based on the initial public offering price of $25.00 per share, the aggregate cash amount that is payable to settle the RUA awards is approximately $39,464 as of March 31, 2026, an increase of approximately $6,610 from $32,854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2025. The change in fair value was recognized in “Cost of revenue” and “Selling, general and administrative expenses” in the condensed consolidated statement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Class C Unit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Reorganization Transactions entered into in connection with the IPO consequently ended the Restricted Class C unit and Additional Class C unit plans and caused all outstanding units to be converted into LLC Interests of SOLV Energy Holdings LLC with a uniform time-based vesting condition. Prior to the IPO, the Restricted Class C units were granted to employees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120" w:after="0"/>
        <w:jc w:val="left"/>
        <w:rPr>
          <w:rFonts w:ascii="Times New Roman" w:hAnsi="Times New Roman"/>
          <w:sz w:val="20"/>
        </w:rPr>
      </w:pPr>
      <w:r>
        <w:rPr>
          <w:rFonts w:ascii="Times New Roman" w:hAnsi="Times New Roman"/>
          <w:sz w:val="20"/>
        </w:rPr>
        <w:t xml:space="preserve">with time, performance and multiple on invested capital (“MOIC”) vesting conditions. The time units vested in equal annual installments over a five-year period on the anniversary date of the vest date. The performance units vested based on the achievement of certain EBITDA performance targets. All performance units would become fully vested on the eighth anniversary of the grant date, whether or not the Company met some or all of the performance targets for any fiscal year. The MOIC units vested based upon a cash distribution threshold being achieved.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vested Restricted Class C units and Additional Class C units were converted to vested LLC Interests. The unvested Restricted Class C that were time-vesting units and unvested Additional Class C units converted to unvested LLC Interests with the same time vesting schedule. The unvested Restricted Class C units that were performance and MOIC vesting units were converted to LLC Interests and are treated as if they were time-vesting units at the time of grant, with time vesting beginning on the original vesting start date of the time units, such that a portion of such LLC Interests are vested LLC Interests and a portion are unvested LLC Interests, subject to the remaining time vesting schedule that applies to the time-vesting units. For each such LLC Interest, there is a corresponding share of the Company’s Class B common stock. The shares of Class B common stock have voting rights, but no economic rights. As of March 31, 2026, there were 15,588,909 shares of our Class B common stock outstanding tied to the LLC Interests into which the Restricted Class C Units and Additional Class C units converted, which include 9,593,243 that are vested LLC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12182" w:type="dxa"/>
        <w:jc w:val="left"/>
        <w:tblInd w:w="0" w:type="dxa"/>
        <w:tblLayout w:type="fixed"/>
        <w:tblCellMar>
          <w:top w:w="0" w:type="dxa"/>
          <w:left w:w="0" w:type="dxa"/>
          <w:bottom w:w="0" w:type="dxa"/>
          <w:right w:w="0" w:type="dxa"/>
        </w:tblCellMar>
      </w:tblPr>
      <w:tblGrid>
        <w:gridCol w:w="1295"/>
        <w:gridCol w:w="120"/>
        <w:gridCol w:w="60"/>
        <w:gridCol w:w="1100"/>
        <w:gridCol w:w="155"/>
        <w:gridCol w:w="60"/>
        <w:gridCol w:w="159"/>
        <w:gridCol w:w="776"/>
        <w:gridCol w:w="60"/>
        <w:gridCol w:w="120"/>
        <w:gridCol w:w="62"/>
        <w:gridCol w:w="908"/>
        <w:gridCol w:w="160"/>
        <w:gridCol w:w="62"/>
        <w:gridCol w:w="232"/>
        <w:gridCol w:w="1138"/>
        <w:gridCol w:w="60"/>
        <w:gridCol w:w="120"/>
        <w:gridCol w:w="77"/>
        <w:gridCol w:w="978"/>
        <w:gridCol w:w="155"/>
        <w:gridCol w:w="60"/>
        <w:gridCol w:w="233"/>
        <w:gridCol w:w="1137"/>
        <w:gridCol w:w="60"/>
        <w:gridCol w:w="120"/>
        <w:gridCol w:w="77"/>
        <w:gridCol w:w="978"/>
        <w:gridCol w:w="155"/>
        <w:gridCol w:w="60"/>
        <w:gridCol w:w="233"/>
        <w:gridCol w:w="1137"/>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Time-vested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Performance-vested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MOIC-vested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 C Units</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Units</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Units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Weighted</w:t>
              <w:br/>
              <w:t>Average</w:t>
              <w:br/>
              <w:t>Exercise Price</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December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200.16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123,953</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105.96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82,969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106.09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79,007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261.48</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Reorganization Transactions and IPO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(216,187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200.16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(123,953</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(82,969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106.09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(79,007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261.48</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of SOLV Energy Holdings LLC Equity Awards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15,602,637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908"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single" w:sz="2" w:space="1" w:color="000000"/>
              </w:rPr>
            </w:pPr>
            <w:r>
              <w:rPr>
                <w:bdr w:val="single" w:sz="2" w:space="1" w:color="000000"/>
              </w:rPr>
              <w:t> </w:t>
            </w:r>
          </w:p>
        </w:tc>
        <w:tc>
          <w:tcPr>
            <w:tcW w:w="97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single" w:sz="2" w:space="1" w:color="000000"/>
              </w:rPr>
            </w:pPr>
            <w:r>
              <w:rPr>
                <w:bdr w:val="single" w:sz="2" w:space="1" w:color="000000"/>
              </w:rPr>
              <w:t> </w:t>
            </w:r>
          </w:p>
        </w:tc>
        <w:tc>
          <w:tcPr>
            <w:tcW w:w="97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March 31,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15,588,909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908" w:type="dxa"/>
            <w:tcBorders/>
            <w:vAlign w:val="center"/>
          </w:tcPr>
          <w:p>
            <w:pPr>
              <w:pStyle w:val="TableContents"/>
              <w:bidi w:val="0"/>
              <w:spacing w:before="0" w:after="0"/>
              <w:jc w:val="left"/>
              <w:rPr>
                <w:bdr w:val="double" w:sz="6" w:space="1" w:color="000000"/>
              </w:rPr>
            </w:pPr>
            <w:r>
              <w:rPr>
                <w:bdr w:val="double" w:sz="6"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97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97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March 31,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9,593,243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908" w:type="dxa"/>
            <w:tcBorders/>
            <w:vAlign w:val="center"/>
          </w:tcPr>
          <w:p>
            <w:pPr>
              <w:pStyle w:val="TableContents"/>
              <w:bidi w:val="0"/>
              <w:spacing w:before="0" w:after="0"/>
              <w:jc w:val="left"/>
              <w:rPr>
                <w:bdr w:val="double" w:sz="6" w:space="1" w:color="000000"/>
              </w:rPr>
            </w:pPr>
            <w:r>
              <w:rPr>
                <w:bdr w:val="double" w:sz="6"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97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97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Restricted Class C time and performance vesting units and the Additional Class C units for LLC Interests and Class B common stock is a Type I modification pursuant to ASC 718,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 (“ASC 718”)</w:t>
      </w:r>
    </w:p>
    <w:p>
      <w:pPr>
        <w:pStyle w:val="TextBody"/>
        <w:bidi w:val="0"/>
        <w:spacing w:before="240" w:after="0"/>
        <w:jc w:val="left"/>
        <w:rPr>
          <w:rFonts w:ascii="Times New Roman" w:hAnsi="Times New Roman"/>
          <w:sz w:val="20"/>
        </w:rPr>
      </w:pPr>
      <w:r>
        <w:rPr>
          <w:rFonts w:ascii="Times New Roman" w:hAnsi="Times New Roman"/>
          <w:sz w:val="20"/>
        </w:rPr>
        <w:t xml:space="preserve">because the units prior to and after the exchange are expected to vest. The Company recorded $1,553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associated with the Restricted Class C time vesting units, performance vesting units and the Additional Class C units, for the period ended March 31, 2026 in the condensed consolidated statement of operations. As of March 31, 2026, there was $11,597, $2,147 and $1,962 of unrecognized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expected to be recognized through 2029, respectively, for these units.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determined that the exchange of the Restricted Class C MOIC-vested units for LLC Interests and Class B common stock is a Type III modification pursuant to ASC 718 because the MOIC-vested units vesting condition was deemed improbable and is now considered probable. As a result of the exchange, the Company recognized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incremental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compensation expense of </w:t>
      </w:r>
    </w:p>
    <w:p>
      <w:pPr>
        <w:pStyle w:val="TextBody"/>
        <w:bidi w:val="0"/>
        <w:spacing w:before="240" w:after="0"/>
        <w:jc w:val="left"/>
        <w:rPr>
          <w:rFonts w:ascii="Times New Roman" w:hAnsi="Times New Roman"/>
          <w:sz w:val="20"/>
        </w:rPr>
      </w:pPr>
      <w:r>
        <w:rPr>
          <w:rFonts w:ascii="Times New Roman" w:hAnsi="Times New Roman"/>
          <w:sz w:val="20"/>
        </w:rPr>
        <w:t xml:space="preserve">approximately $52,270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applicable vested LLC Interests in the condensed consolidated statement of operations for the period ended March 31, 2026. The Company </w:t>
      </w:r>
    </w:p>
    <w:p>
      <w:pPr>
        <w:pStyle w:val="TextBody"/>
        <w:bidi w:val="0"/>
        <w:spacing w:before="240" w:after="0"/>
        <w:jc w:val="left"/>
        <w:rPr>
          <w:rFonts w:ascii="Times New Roman" w:hAnsi="Times New Roman"/>
          <w:sz w:val="20"/>
        </w:rPr>
      </w:pPr>
      <w:r>
        <w:rPr>
          <w:rFonts w:ascii="Times New Roman" w:hAnsi="Times New Roman"/>
          <w:sz w:val="20"/>
        </w:rPr>
        <w:t xml:space="preserve">recorded $2,576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associated with these MOIC-vested units for the for the period ended March 31, 2026. As of March 31, 2026, there was $15,225 of unrecognized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compensation expense expected to be recognized through 2029.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425"/>
        <w:gridCol w:w="2765"/>
      </w:tblGrid>
      <w:tr>
        <w:trPr/>
        <w:tc>
          <w:tcPr>
            <w:tcW w:w="425" w:type="dxa"/>
            <w:tcBorders/>
            <w:vAlign w:val="center"/>
          </w:tcPr>
          <w:p>
            <w:pPr>
              <w:pStyle w:val="TableContents"/>
              <w:bidi w:val="0"/>
              <w:spacing w:before="0" w:after="0"/>
              <w:jc w:val="left"/>
              <w:rPr>
                <w:b/>
                <w:spacing w:val="0"/>
              </w:rPr>
            </w:pPr>
            <w:r>
              <w:rPr>
                <w:b/>
                <w:spacing w:val="0"/>
              </w:rPr>
              <w:t>(10)</w:t>
            </w:r>
          </w:p>
        </w:tc>
        <w:tc>
          <w:tcPr>
            <w:tcW w:w="27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Stockholders’/Members’ 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capitalization and voting rights of the Company’s classes of stock as of March 31, 2026: </w:t>
      </w:r>
    </w:p>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1355"/>
        <w:gridCol w:w="120"/>
        <w:gridCol w:w="60"/>
        <w:gridCol w:w="1400"/>
        <w:gridCol w:w="60"/>
        <w:gridCol w:w="120"/>
        <w:gridCol w:w="60"/>
        <w:gridCol w:w="1220"/>
        <w:gridCol w:w="60"/>
        <w:gridCol w:w="120"/>
        <w:gridCol w:w="1610"/>
        <w:gridCol w:w="120"/>
        <w:gridCol w:w="176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Authorized</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Issued &amp;</w:t>
              <w:br/>
              <w:t>Outstanding</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center"/>
              <w:rPr>
                <w:b/>
                <w:spacing w:val="0"/>
              </w:rPr>
            </w:pPr>
            <w:r>
              <w:rPr>
                <w:b/>
                <w:spacing w:val="0"/>
              </w:rPr>
              <w:t>Votes per share</w:t>
            </w:r>
          </w:p>
        </w:tc>
        <w:tc>
          <w:tcPr>
            <w:tcW w:w="12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center"/>
              <w:rPr>
                <w:b/>
                <w:spacing w:val="0"/>
              </w:rPr>
            </w:pPr>
            <w:r>
              <w:rPr>
                <w:b/>
                <w:spacing w:val="0"/>
              </w:rPr>
              <w:t>Economic Rights</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None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N/A</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1,250,000,000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115,348,571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pPr>
            <w:r>
              <w:rPr/>
              <w:t>1</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Yes</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87,128,137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1</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No</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The Company’s board of directors is authorized to direct the Company to issue shares of preferred stock in one or more series and the discretion to determine the rights, preferences, privileges and restrictions, including voting rights, dividend rights, conversion rights, redemption privileges and liquidation preferences, of each series of preferred stock. Through March 31, 2026, no series of preferred stock have been issued.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Holders of shares of our Class A common stock are entitled to receive dividends when and if declared by our board of directors out of funds legally available therefore, subject to any statutory or contractual restrictions on the payment of dividends and to any restrictions on the payment of dividends imposed by the terms of any outstanding preferred stock. 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Holders of shares of our Class A common stock do not have preemptive, subscription, redemption or conversion rights. There will be no redemption or sinking fund provisions applicable to the Class A common stock.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 The Company must, at all times, maintain (i)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240" w:after="0"/>
        <w:jc w:val="left"/>
        <w:rPr>
          <w:rFonts w:ascii="Times New Roman" w:hAnsi="Times New Roman"/>
          <w:sz w:val="20"/>
        </w:rPr>
      </w:pPr>
      <w:r>
        <w:rPr>
          <w:rFonts w:ascii="Times New Roman" w:hAnsi="Times New Roman"/>
          <w:sz w:val="20"/>
        </w:rPr>
        <w:t xml:space="preserve">ratio between the number of shares of Class A common stock issued by the Company and the number of LLC Interests owned by the Company, and (ii) maintain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240" w:after="0"/>
        <w:jc w:val="left"/>
        <w:rPr>
          <w:rFonts w:ascii="Times New Roman" w:hAnsi="Times New Roman"/>
          <w:sz w:val="20"/>
        </w:rPr>
      </w:pPr>
      <w:r>
        <w:rPr>
          <w:rFonts w:ascii="Times New Roman" w:hAnsi="Times New Roman"/>
          <w:sz w:val="20"/>
        </w:rPr>
        <w:t xml:space="preserve">ratio between the number of shares of Class B common stock owned by the Continuing Equity Owners and the number of LLC Interests owned by the Continuing Equity Owners.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Shares of Class B common stock will be issued in the future only to the extent necessary to maintain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240" w:after="0"/>
        <w:jc w:val="left"/>
        <w:rPr>
          <w:rFonts w:ascii="Times New Roman" w:hAnsi="Times New Roman"/>
          <w:sz w:val="20"/>
        </w:rPr>
      </w:pPr>
      <w:r>
        <w:rPr>
          <w:rFonts w:ascii="Times New Roman" w:hAnsi="Times New Roman"/>
          <w:sz w:val="20"/>
        </w:rPr>
        <w:t xml:space="preserve">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The LLC Interests held by Continuing Equity Owners include a redemption right which may be settled by the Company, at the Company’s election, through the (i) issuance of a new share of Class A common stock for each LLC Interest redeemed or (ii) settled by cash proceeds received from a qualifying offering of Class A common stock. The LLC Interests are not classified as temporary equity as the cash settlement is limited to the proceeds from a new offering of Class A common stock which is equity-classified.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through a wholly owned subsidiary, became the sole manager of SOLV Energy Holdings LLC and accordingly consolidates the results of operations of SOLV Energy Holdings LLC. The noncontrolling interests balance on the Company’s consolidated balance sheets represents the portion of LLC Interests held by the Continuing Equity Owners. Net (loss) income is attributed to the noncontrolling interests based on the weighted-average ownership percentages of LLC Interests outstanding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SOLV Energy, Inc., directly and indirectly, held 115,348,571 units in SOLV Energy Holdings LLC resulting in an ownership interest of 57.0%.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0"/>
              <w:jc w:val="left"/>
              <w:rPr>
                <w:b/>
                <w:spacing w:val="0"/>
              </w:rPr>
            </w:pPr>
            <w:r>
              <w:rPr>
                <w:b/>
                <w:spacing w:val="0"/>
              </w:rPr>
              <w:t>(11)</w:t>
            </w:r>
          </w:p>
        </w:tc>
        <w:tc>
          <w:tcPr>
            <w:tcW w:w="1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loss per share is computed by dividing net income attributable to the Company by the weighted-average number of shares of Class A common stock outstanding during the period. Diluted loss per share is computed by adjusting the net income available to the Company and the weighted average shares outstanding to give effect to potentially dilutive securities. Shares of Class B common stock are noneconomic and are not entitled to receive any distributions or dividends and are therefore excluded from this presentation since they are not participating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current capital structure is not reflective of the capital structure of SOLV Energy Holdings LLC prior to the IPO and the Transactions. Therefore, earnings per share has not been presented for the period of the year prior to the IPO or for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Prior to the IPO, SOLV Energy Holdings LLC membership structure included Class A Units and Restricted Class C Units. The Company analyzed the calculation of earnings per unit for the periods prior to the IPO and determined that it resulted in values that would not be meaningful to the users of these condensed consolidated financial statements. Therefore, earnings per share information has not been presented for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Basic and diluted earnings per share of common stock for the three months ended March 31, 2026 have been computed as follows (in thousands, except share and per share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5690"/>
        <w:gridCol w:w="120"/>
        <w:gridCol w:w="227"/>
        <w:gridCol w:w="1983"/>
        <w:gridCol w:w="170"/>
      </w:tblGrid>
      <w:tr>
        <w:trPr/>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March 31, 2026</w:t>
            </w:r>
          </w:p>
        </w:tc>
        <w:tc>
          <w:tcPr>
            <w:tcW w:w="17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net (loss) income per s</w:t>
            </w:r>
          </w:p>
          <w:p>
            <w:pPr>
              <w:pStyle w:val="TableContents"/>
              <w:bidi w:val="0"/>
              <w:spacing w:before="0" w:after="0"/>
              <w:jc w:val="left"/>
              <w:rPr>
                <w:rFonts w:ascii="Times New Roman" w:hAnsi="Times New Roman"/>
                <w:b/>
                <w:sz w:val="20"/>
              </w:rPr>
            </w:pPr>
            <w:r>
              <w:rPr>
                <w:rFonts w:ascii="Times New Roman" w:hAnsi="Times New Roman"/>
                <w:b/>
                <w:sz w:val="20"/>
              </w:rPr>
              <w:t>h</w:t>
            </w:r>
          </w:p>
          <w:p>
            <w:pPr>
              <w:pStyle w:val="TableContents"/>
              <w:bidi w:val="0"/>
              <w:spacing w:before="0" w:after="0"/>
              <w:jc w:val="left"/>
              <w:rPr>
                <w:rFonts w:ascii="Times New Roman" w:hAnsi="Times New Roman"/>
                <w:b/>
                <w:sz w:val="20"/>
              </w:rPr>
            </w:pPr>
            <w:r>
              <w:rPr>
                <w:rFonts w:ascii="Times New Roman" w:hAnsi="Times New Roman"/>
                <w:b/>
                <w:sz w:val="20"/>
              </w:rPr>
              <w:t>are:</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98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(27,414</w:t>
            </w:r>
          </w:p>
        </w:tc>
        <w:tc>
          <w:tcPr>
            <w:tcW w:w="170" w:type="dxa"/>
            <w:tcBorders/>
            <w:shd w:fill="CCEEFF" w:val="clear"/>
            <w:vAlign w:val="center"/>
          </w:tcPr>
          <w:p>
            <w:pPr>
              <w:pStyle w:val="TableContents"/>
              <w:bidi w:val="0"/>
              <w:spacing w:before="0" w:after="283"/>
              <w:jc w:val="left"/>
              <w:rPr/>
            </w:pPr>
            <w:r>
              <w:rPr/>
              <w:t>)</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Net (loss)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and LLC members prior to IPO</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(4,056</w:t>
            </w:r>
          </w:p>
        </w:tc>
        <w:tc>
          <w:tcPr>
            <w:tcW w:w="170" w:type="dxa"/>
            <w:tcBorders/>
            <w:vAlign w:val="center"/>
          </w:tcPr>
          <w:p>
            <w:pPr>
              <w:pStyle w:val="TableContents"/>
              <w:bidi w:val="0"/>
              <w:spacing w:before="0" w:after="283"/>
              <w:jc w:val="left"/>
              <w:rPr/>
            </w:pPr>
            <w:r>
              <w:rPr/>
              <w:t>)</w:t>
            </w:r>
          </w:p>
        </w:tc>
      </w:tr>
      <w:tr>
        <w:trPr/>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single" w:sz="2" w:space="1" w:color="000000"/>
              </w:rPr>
            </w:pPr>
            <w:r>
              <w:rPr>
                <w:bdr w:val="single" w:sz="2" w:space="1" w:color="000000"/>
              </w:rPr>
              <w:t> </w:t>
            </w:r>
          </w:p>
        </w:tc>
        <w:tc>
          <w:tcPr>
            <w:tcW w:w="19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SOLV Energy, Inc., basic and diluted</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(23,358</w:t>
            </w:r>
          </w:p>
        </w:tc>
        <w:tc>
          <w:tcPr>
            <w:tcW w:w="170" w:type="dxa"/>
            <w:tcBorders/>
            <w:shd w:fill="CCEEFF" w:val="clear"/>
            <w:vAlign w:val="center"/>
          </w:tcPr>
          <w:p>
            <w:pPr>
              <w:pStyle w:val="TableContents"/>
              <w:bidi w:val="0"/>
              <w:spacing w:before="0" w:after="283"/>
              <w:jc w:val="left"/>
              <w:rPr/>
            </w:pPr>
            <w:r>
              <w:rPr/>
              <w:t>)</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basic</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115,348,571</w:t>
            </w:r>
          </w:p>
        </w:tc>
        <w:tc>
          <w:tcPr>
            <w:tcW w:w="17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per share, basic</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(0.20</w:t>
            </w:r>
          </w:p>
        </w:tc>
        <w:tc>
          <w:tcPr>
            <w:tcW w:w="17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single" w:sz="2" w:space="1" w:color="000000"/>
              </w:rPr>
            </w:pPr>
            <w:r>
              <w:rPr>
                <w:bdr w:val="single" w:sz="2" w:space="1" w:color="000000"/>
              </w:rPr>
              <w:t> </w:t>
            </w:r>
          </w:p>
        </w:tc>
        <w:tc>
          <w:tcPr>
            <w:tcW w:w="19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net (loss) income per share:</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98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SOLV Energy, Inc., basic and diluted</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(23,358</w:t>
            </w:r>
          </w:p>
        </w:tc>
        <w:tc>
          <w:tcPr>
            <w:tcW w:w="170" w:type="dxa"/>
            <w:tcBorders/>
            <w:shd w:fill="CCEEFF" w:val="clear"/>
            <w:vAlign w:val="center"/>
          </w:tcPr>
          <w:p>
            <w:pPr>
              <w:pStyle w:val="TableContents"/>
              <w:bidi w:val="0"/>
              <w:spacing w:before="0" w:after="283"/>
              <w:jc w:val="left"/>
              <w:rPr/>
            </w:pPr>
            <w:r>
              <w:rPr/>
              <w:t>)</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basic</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115,348,571</w:t>
            </w:r>
          </w:p>
        </w:tc>
        <w:tc>
          <w:tcPr>
            <w:tcW w:w="17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LLC Interests Attributable to Continuing Equity Owners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LLC Interests Attributable to Management Holdings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Awards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single" w:sz="2" w:space="1" w:color="000000"/>
              </w:rPr>
            </w:pPr>
            <w:r>
              <w:rPr>
                <w:bdr w:val="single" w:sz="2" w:space="1" w:color="000000"/>
              </w:rPr>
              <w:t> </w:t>
            </w:r>
          </w:p>
        </w:tc>
        <w:tc>
          <w:tcPr>
            <w:tcW w:w="19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averages shares of common stock, diluted</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115,348,571</w:t>
            </w:r>
          </w:p>
        </w:tc>
        <w:tc>
          <w:tcPr>
            <w:tcW w:w="170"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per share, diluted</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(0.20</w:t>
            </w:r>
          </w:p>
        </w:tc>
        <w:tc>
          <w:tcPr>
            <w:tcW w:w="17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double" w:sz="6" w:space="1" w:color="000000"/>
              </w:rPr>
            </w:pPr>
            <w:r>
              <w:rPr>
                <w:bdr w:val="double" w:sz="6" w:space="1" w:color="000000"/>
              </w:rPr>
              <w:t> </w:t>
            </w:r>
          </w:p>
        </w:tc>
        <w:tc>
          <w:tcPr>
            <w:tcW w:w="198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 of diluted net loss per share for the three months ended March 31, 2026 excludes (i) the exchange of LLC Interests (and the cancellation of an equal number of shares of Class B common stock) to Class A common stock, (ii) unvested common units of SOLV Energy Holdings LLC held indirectly through SOLV Energy Management Holdings LP, (iii) stock options granted under the 2026 Plan with an exercise price equal to the initial public offering price, and (iv) unvested restricted stock awards granted under the 2026 Plan, respectively, because their inclusion in the calculation would be anti-dilutive.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securities were excluded from the computation of diluted net loss per share for the period presented because their effect on net loss per share would have been anti-dilutive: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50"/>
        <w:gridCol w:w="120"/>
        <w:gridCol w:w="199"/>
        <w:gridCol w:w="3661"/>
        <w:gridCol w:w="75"/>
      </w:tblGrid>
      <w:tr>
        <w:trPr/>
        <w:tc>
          <w:tcPr>
            <w:tcW w:w="6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 2026</w:t>
            </w:r>
          </w:p>
        </w:tc>
        <w:tc>
          <w:tcPr>
            <w:tcW w:w="75"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LLC Interests Attributable to Continuing Equity Owners</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661" w:type="dxa"/>
            <w:tcBorders/>
            <w:shd w:fill="CCEEFF" w:val="clear"/>
            <w:vAlign w:val="center"/>
          </w:tcPr>
          <w:p>
            <w:pPr>
              <w:pStyle w:val="TableContents"/>
              <w:bidi w:val="0"/>
              <w:spacing w:before="0" w:after="283"/>
              <w:jc w:val="right"/>
              <w:rPr/>
            </w:pPr>
            <w:r>
              <w:rPr/>
              <w:t>81,132,471</w:t>
            </w:r>
          </w:p>
        </w:tc>
        <w:tc>
          <w:tcPr>
            <w:tcW w:w="75"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LLC Interests Attributable to SOLV Energy Management Holdings LP</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3661" w:type="dxa"/>
            <w:tcBorders/>
            <w:vAlign w:val="center"/>
          </w:tcPr>
          <w:p>
            <w:pPr>
              <w:pStyle w:val="TableContents"/>
              <w:bidi w:val="0"/>
              <w:spacing w:before="0" w:after="283"/>
              <w:jc w:val="right"/>
              <w:rPr/>
            </w:pPr>
            <w:r>
              <w:rPr/>
              <w:t>5,995,666</w:t>
            </w:r>
          </w:p>
        </w:tc>
        <w:tc>
          <w:tcPr>
            <w:tcW w:w="75"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Awards</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3661" w:type="dxa"/>
            <w:tcBorders/>
            <w:shd w:fill="CCEEFF" w:val="clear"/>
            <w:vAlign w:val="center"/>
          </w:tcPr>
          <w:p>
            <w:pPr>
              <w:pStyle w:val="TableContents"/>
              <w:bidi w:val="0"/>
              <w:spacing w:before="0" w:after="283"/>
              <w:jc w:val="right"/>
              <w:rPr/>
            </w:pPr>
            <w:r>
              <w:rPr/>
              <w:t>257,400</w:t>
            </w:r>
          </w:p>
        </w:tc>
        <w:tc>
          <w:tcPr>
            <w:tcW w:w="75"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3661" w:type="dxa"/>
            <w:tcBorders/>
            <w:vAlign w:val="center"/>
          </w:tcPr>
          <w:p>
            <w:pPr>
              <w:pStyle w:val="TableContents"/>
              <w:bidi w:val="0"/>
              <w:spacing w:before="0" w:after="283"/>
              <w:jc w:val="right"/>
              <w:rPr/>
            </w:pPr>
            <w:r>
              <w:rPr/>
              <w:t>3,072,538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0"/>
              <w:jc w:val="left"/>
              <w:rPr>
                <w:b/>
                <w:spacing w:val="0"/>
              </w:rPr>
            </w:pPr>
            <w:r>
              <w:rPr>
                <w:b/>
                <w:spacing w:val="0"/>
              </w:rPr>
              <w:t>(12)</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24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w:t>
      </w:r>
    </w:p>
    <w:p>
      <w:pPr>
        <w:pStyle w:val="TextBody"/>
        <w:bidi w:val="0"/>
        <w:spacing w:before="240" w:after="0"/>
        <w:jc w:val="left"/>
        <w:rPr>
          <w:rFonts w:ascii="Times New Roman" w:hAnsi="Times New Roman"/>
          <w:sz w:val="20"/>
        </w:rPr>
      </w:pPr>
      <w:r>
        <w:rPr>
          <w:rFonts w:ascii="Times New Roman" w:hAnsi="Times New Roman"/>
          <w:sz w:val="20"/>
        </w:rPr>
        <w:t xml:space="preserve">See Note 15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Details of Certain Accounts</w:t>
      </w:r>
    </w:p>
    <w:p>
      <w:pPr>
        <w:pStyle w:val="TextBody"/>
        <w:bidi w:val="0"/>
        <w:spacing w:before="240" w:after="0"/>
        <w:jc w:val="left"/>
        <w:rPr>
          <w:rFonts w:ascii="Times New Roman" w:hAnsi="Times New Roman"/>
          <w:sz w:val="20"/>
        </w:rPr>
      </w:pPr>
      <w:r>
        <w:rPr>
          <w:rFonts w:ascii="Times New Roman" w:hAnsi="Times New Roman"/>
          <w:sz w:val="20"/>
        </w:rPr>
        <w:t xml:space="preserve">for warranty reserves recorded on the condensed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Tariffs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U.S. Supreme Court issued a ruling invalidating certain tariffs previously imposed under the International Emergency Economic Powers Act (IEEPA). We are evaluating the impacts of these developments on our results of operations. We will continue to monitor recent developments on tariff policy and evaluate any changes to the applicability of tariffs to our business as they occur. As of March 31, 2026, we have not recorded any impact for potential recovery of tariff-related costs as refunds are uncertain.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425"/>
        <w:gridCol w:w="2405"/>
      </w:tblGrid>
      <w:tr>
        <w:trPr/>
        <w:tc>
          <w:tcPr>
            <w:tcW w:w="425" w:type="dxa"/>
            <w:tcBorders/>
            <w:vAlign w:val="center"/>
          </w:tcPr>
          <w:p>
            <w:pPr>
              <w:pStyle w:val="TableContents"/>
              <w:bidi w:val="0"/>
              <w:spacing w:before="0" w:after="0"/>
              <w:jc w:val="left"/>
              <w:rPr>
                <w:b/>
                <w:spacing w:val="0"/>
              </w:rPr>
            </w:pPr>
            <w:r>
              <w:rPr>
                <w:b/>
                <w:spacing w:val="0"/>
              </w:rPr>
              <w:t>(13)</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Transactions with a Minority Investor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and the related liquidation of SOLV Energy Parent Holdings LP, on December 20, 2025, SOLV Energy Parent Holdings LP redeemed the units held by a minority investor in exchange for a $112,500 note secured by a first priority lien on all of SOLV Energy Parent Holdings LP’s assets, including its equity interests in the SOLV Energy Holdings LLC. The note was subsequently settled in January 2026 using cash on hand distributed upstream to SOLV Energy Parent Holdings LP from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was party to management consulting agreements with American Securities (“Consulting Agreements”), pursuant to which American Securities agreed to provide certain management and legal services to the Company. The Company was required to pay American Securities an annual fee to $3,000,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payable in equal quarterly cash installments. Payments made, including reimbursable expenses, to American Securities under the Consulting Agreements during the three months ended March 31, 2026 and March 31, 2025 amounted to $750 and $750, respectively. The payments made during the three month ended March 31, 2026 were made prior to the consummation of the IPO. The SOLV Consulting Agreement was terminated in connection with the consummation of the IPO and Reorganization and, therefore, no further payments will be made in the future. Payments made to American Securities under the Consulting Agreements are included in “Selling, general and administrative expenses”.</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 connection with the redemption of the minority investor units noted above, SOLV Energy, LLC entered into a loan agreement, dated as of January 5, 2026, with affiliated funds of American Securities. The loan agreement was terminated on February 12, 2026 in connection with the IPO. </w:t>
      </w:r>
    </w:p>
    <w:p>
      <w:pPr>
        <w:pStyle w:val="TextBody"/>
        <w:bidi w:val="0"/>
        <w:spacing w:before="0" w:after="0"/>
        <w:ind w:left="0" w:right="0" w:hanging="0"/>
        <w:jc w:val="left"/>
        <w:rPr>
          <w:spacing w:val="0"/>
        </w:rPr>
      </w:pPr>
      <w:r>
        <w:rPr>
          <w:spacing w:val="0"/>
        </w:rPr>
        <w:t> </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0"/>
              <w:jc w:val="left"/>
              <w:rPr>
                <w:b/>
                <w:spacing w:val="0"/>
              </w:rPr>
            </w:pPr>
            <w:r>
              <w:rPr>
                <w:b/>
                <w:spacing w:val="0"/>
              </w:rPr>
              <w:t>(14)</w:t>
            </w:r>
          </w:p>
        </w:tc>
        <w:tc>
          <w:tcPr>
            <w:tcW w:w="2030" w:type="dxa"/>
            <w:tcBorders/>
            <w:vAlign w:val="center"/>
          </w:tcPr>
          <w:p>
            <w:pPr>
              <w:pStyle w:val="TableContents"/>
              <w:bidi w:val="0"/>
              <w:spacing w:before="0" w:after="0"/>
              <w:jc w:val="left"/>
              <w:rPr>
                <w:b/>
                <w:sz w:val="20"/>
              </w:rPr>
            </w:pPr>
            <w:r>
              <w:rPr>
                <w:b/>
                <w:sz w:val="20"/>
              </w:rPr>
              <w:t xml:space="preserve">Business Combinations </w:t>
            </w:r>
          </w:p>
        </w:tc>
      </w:tr>
    </w:tbl>
    <w:p>
      <w:pPr>
        <w:pStyle w:val="TextBody"/>
        <w:bidi w:val="0"/>
        <w:spacing w:before="120" w:after="0"/>
        <w:jc w:val="left"/>
        <w:rPr>
          <w:b/>
          <w:i/>
          <w:spacing w:val="0"/>
          <w:sz w:val="20"/>
        </w:rPr>
      </w:pPr>
      <w:r>
        <w:rPr>
          <w:b/>
          <w:i/>
          <w:spacing w:val="0"/>
          <w:sz w:val="20"/>
        </w:rPr>
        <w:t xml:space="preserve">SDI Acquisition </w:t>
      </w:r>
    </w:p>
    <w:p>
      <w:pPr>
        <w:pStyle w:val="TextBody"/>
        <w:bidi w:val="0"/>
        <w:spacing w:before="120" w:after="0"/>
        <w:jc w:val="left"/>
        <w:rPr>
          <w:sz w:val="20"/>
        </w:rPr>
      </w:pPr>
      <w:r>
        <w:rPr>
          <w:sz w:val="20"/>
        </w:rPr>
        <w:t xml:space="preserve">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w:t>
      </w:r>
    </w:p>
    <w:p>
      <w:pPr>
        <w:pStyle w:val="TextBody"/>
        <w:bidi w:val="0"/>
        <w:spacing w:before="120" w:after="0"/>
        <w:jc w:val="left"/>
        <w:rPr>
          <w:spacing w:val="0"/>
          <w:sz w:val="20"/>
        </w:rPr>
      </w:pPr>
      <w:r>
        <w:rPr>
          <w:spacing w:val="0"/>
          <w:sz w:val="20"/>
        </w:rPr>
        <w:t>one-year</w:t>
      </w:r>
    </w:p>
    <w:p>
      <w:pPr>
        <w:pStyle w:val="TextBody"/>
        <w:bidi w:val="0"/>
        <w:spacing w:before="120" w:after="0"/>
        <w:jc w:val="left"/>
        <w:rPr>
          <w:sz w:val="20"/>
        </w:rPr>
      </w:pPr>
      <w:r>
        <w:rPr>
          <w:sz w:val="20"/>
        </w:rPr>
        <w:t xml:space="preserve">anniversary of the acquisition. On January 8, 2026, the Company settled the remaining $5,500 deferred acquisition payment obligation. As of March 31, 2026, the fair value allocation was final, with no measurement period adjustment made to the account balances recorded at the acquisition date. </w:t>
      </w:r>
    </w:p>
    <w:p>
      <w:pPr>
        <w:pStyle w:val="TextBody"/>
        <w:bidi w:val="0"/>
        <w:spacing w:before="240" w:after="0"/>
        <w:jc w:val="left"/>
        <w:rPr>
          <w:sz w:val="20"/>
        </w:rPr>
      </w:pPr>
      <w:r>
        <w:rPr>
          <w:sz w:val="20"/>
        </w:rPr>
        <w:t xml:space="preserve">The Company’s condensed consolidated financial statements include SDI’s revenue and net income which were immaterial for the three months ended March 31, 2026 and 2025. Pro forma financial information has not been presented for the SDI acquisition as the impact to the Company’s condensed consolidated financial statements was not material. </w:t>
      </w:r>
    </w:p>
    <w:p>
      <w:pPr>
        <w:pStyle w:val="TextBody"/>
        <w:bidi w:val="0"/>
        <w:spacing w:before="360" w:after="0"/>
        <w:jc w:val="left"/>
        <w:rPr>
          <w:b/>
          <w:i/>
          <w:spacing w:val="0"/>
          <w:sz w:val="20"/>
        </w:rPr>
      </w:pPr>
      <w:r>
        <w:rPr>
          <w:b/>
          <w:i/>
          <w:spacing w:val="0"/>
          <w:sz w:val="20"/>
        </w:rPr>
        <w:t xml:space="preserve">Spartan Acquisition </w:t>
      </w:r>
    </w:p>
    <w:p>
      <w:pPr>
        <w:pStyle w:val="TextBody"/>
        <w:bidi w:val="0"/>
        <w:spacing w:before="120" w:after="0"/>
        <w:jc w:val="left"/>
        <w:rPr>
          <w:sz w:val="20"/>
        </w:rPr>
      </w:pPr>
      <w:r>
        <w:rPr>
          <w:sz w:val="20"/>
        </w:rPr>
        <w:t xml:space="preserve">On June 13, 2025, the Company acquired 100% of the equity interests of Spartan for an approximate acquisition purchase price of $67,006, which was paid in cash at closing. Spartan specializes in providing services related to infrastructure development and investment. Specifically, the company self-performs electrical transmission construction services and provides procurement and subcontracting engineering services. </w:t>
      </w:r>
    </w:p>
    <w:p>
      <w:pPr>
        <w:pStyle w:val="TextBody"/>
        <w:bidi w:val="0"/>
        <w:spacing w:before="240" w:after="0"/>
        <w:jc w:val="left"/>
        <w:rPr>
          <w:sz w:val="20"/>
        </w:rPr>
      </w:pPr>
      <w:r>
        <w:rPr>
          <w:sz w:val="20"/>
        </w:rPr>
        <w:t xml:space="preserve">The Company recorded provisional amounts for certain acquired assets and liabilities as the valuations were not complete as of the acquisition date. During the current quarter, a $244 adjustment to was recorded to deferred taxes with the offset to goodwill. The measurement period remains open. </w:t>
      </w:r>
    </w:p>
    <w:p>
      <w:pPr>
        <w:pStyle w:val="TextBody"/>
        <w:bidi w:val="0"/>
        <w:spacing w:before="0" w:after="0"/>
        <w:jc w:val="left"/>
        <w:rPr/>
      </w:pPr>
      <w:r>
        <w:rPr/>
        <w:t> </w:t>
      </w:r>
    </w:p>
    <w:p>
      <w:pPr>
        <w:pStyle w:val="TextBody"/>
        <w:bidi w:val="0"/>
        <w:spacing w:before="0" w:after="0"/>
        <w:jc w:val="center"/>
        <w:rPr>
          <w:sz w:val="20"/>
        </w:rPr>
      </w:pPr>
      <w:r>
        <w:rPr>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425"/>
        <w:gridCol w:w="2375"/>
      </w:tblGrid>
      <w:tr>
        <w:trPr/>
        <w:tc>
          <w:tcPr>
            <w:tcW w:w="425" w:type="dxa"/>
            <w:tcBorders/>
            <w:vAlign w:val="center"/>
          </w:tcPr>
          <w:p>
            <w:pPr>
              <w:pStyle w:val="TableContents"/>
              <w:bidi w:val="0"/>
              <w:spacing w:before="0" w:after="0"/>
              <w:jc w:val="left"/>
              <w:rPr>
                <w:b/>
                <w:spacing w:val="0"/>
              </w:rPr>
            </w:pPr>
            <w:r>
              <w:rPr>
                <w:b/>
                <w:spacing w:val="0"/>
              </w:rPr>
              <w:t>(15)</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Details of Certain Accounts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8572" w:type="dxa"/>
        <w:jc w:val="left"/>
        <w:tblInd w:w="0" w:type="dxa"/>
        <w:tblLayout w:type="fixed"/>
        <w:tblCellMar>
          <w:top w:w="0" w:type="dxa"/>
          <w:left w:w="0" w:type="dxa"/>
          <w:bottom w:w="0" w:type="dxa"/>
          <w:right w:w="0" w:type="dxa"/>
        </w:tblCellMar>
      </w:tblPr>
      <w:tblGrid>
        <w:gridCol w:w="5060"/>
        <w:gridCol w:w="120"/>
        <w:gridCol w:w="242"/>
        <w:gridCol w:w="1178"/>
        <w:gridCol w:w="267"/>
        <w:gridCol w:w="207"/>
        <w:gridCol w:w="242"/>
        <w:gridCol w:w="1181"/>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0"/>
              <w:jc w:val="left"/>
              <w:rPr/>
            </w:pPr>
            <w:r>
              <w:rPr/>
              <w:t> </w:t>
            </w:r>
          </w:p>
        </w:tc>
      </w:tr>
      <w:tr>
        <w:trPr/>
        <w:tc>
          <w:tcPr>
            <w:tcW w:w="50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6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17,734</w:t>
            </w:r>
          </w:p>
        </w:tc>
        <w:tc>
          <w:tcPr>
            <w:tcW w:w="2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25,204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 net of refunds</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(498</w:t>
            </w:r>
          </w:p>
        </w:tc>
        <w:tc>
          <w:tcPr>
            <w:tcW w:w="267" w:type="dxa"/>
            <w:tcBorders/>
            <w:vAlign w:val="center"/>
          </w:tcPr>
          <w:p>
            <w:pPr>
              <w:pStyle w:val="TableContents"/>
              <w:bidi w:val="0"/>
              <w:spacing w:before="0" w:after="283"/>
              <w:jc w:val="left"/>
              <w:rPr/>
            </w:pPr>
            <w:r>
              <w:rPr/>
              <w:t>)</w:t>
            </w:r>
          </w:p>
        </w:tc>
        <w:tc>
          <w:tcPr>
            <w:tcW w:w="20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1,259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Impaired costs written off during the year</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(3,939</w:t>
            </w:r>
          </w:p>
        </w:tc>
        <w:tc>
          <w:tcPr>
            <w:tcW w:w="26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8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13,297</w:t>
            </w:r>
          </w:p>
        </w:tc>
        <w:tc>
          <w:tcPr>
            <w:tcW w:w="2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26,463</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double" w:sz="6" w:space="1" w:color="000000"/>
              </w:rPr>
            </w:pPr>
            <w:r>
              <w:rPr>
                <w:bdr w:val="double" w:sz="6" w:space="1" w:color="000000"/>
              </w:rPr>
              <w:t> </w:t>
            </w:r>
          </w:p>
        </w:tc>
        <w:tc>
          <w:tcPr>
            <w:tcW w:w="1178" w:type="dxa"/>
            <w:tcBorders/>
            <w:vAlign w:val="center"/>
          </w:tcPr>
          <w:p>
            <w:pPr>
              <w:pStyle w:val="TableContents"/>
              <w:bidi w:val="0"/>
              <w:spacing w:before="0" w:after="0"/>
              <w:jc w:val="left"/>
              <w:rPr>
                <w:bdr w:val="double" w:sz="6" w:space="1" w:color="000000"/>
              </w:rPr>
            </w:pPr>
            <w:r>
              <w:rPr>
                <w:bdr w:val="double" w:sz="6" w:space="1" w:color="000000"/>
              </w:rPr>
              <w:t> </w:t>
            </w:r>
          </w:p>
        </w:tc>
        <w:tc>
          <w:tcPr>
            <w:tcW w:w="26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jc w:val="left"/>
              <w:rPr>
                <w:bdr w:val="double" w:sz="6" w:space="1" w:color="000000"/>
              </w:rPr>
            </w:pPr>
            <w:r>
              <w:rPr>
                <w:bdr w:val="double" w:sz="6" w:space="1" w:color="000000"/>
              </w:rPr>
              <w:t> </w:t>
            </w:r>
          </w:p>
        </w:tc>
        <w:tc>
          <w:tcPr>
            <w:tcW w:w="118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6540" w:type="dxa"/>
        <w:jc w:val="left"/>
        <w:tblInd w:w="0" w:type="dxa"/>
        <w:tblLayout w:type="fixed"/>
        <w:tblCellMar>
          <w:top w:w="0" w:type="dxa"/>
          <w:left w:w="0" w:type="dxa"/>
          <w:bottom w:w="0" w:type="dxa"/>
          <w:right w:w="0" w:type="dxa"/>
        </w:tblCellMar>
      </w:tblPr>
      <w:tblGrid>
        <w:gridCol w:w="3140"/>
        <w:gridCol w:w="120"/>
        <w:gridCol w:w="239"/>
        <w:gridCol w:w="1371"/>
        <w:gridCol w:w="60"/>
        <w:gridCol w:w="120"/>
        <w:gridCol w:w="241"/>
        <w:gridCol w:w="1174"/>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Supplier deposits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55,561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43,485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Materials inventory</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40,243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4,594</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Non-trade</w:t>
            </w:r>
          </w:p>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1,986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2,942</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2,495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5,531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3,898</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105,528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60,887</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4685"/>
        <w:gridCol w:w="120"/>
        <w:gridCol w:w="239"/>
        <w:gridCol w:w="1371"/>
        <w:gridCol w:w="155"/>
        <w:gridCol w:w="120"/>
        <w:gridCol w:w="210"/>
        <w:gridCol w:w="1205"/>
        <w:gridCol w:w="170"/>
      </w:tblGrid>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92,585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80,022</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4,454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4,391</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64,125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56,724</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2,845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2,845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15,255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15,214</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5,305</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1,059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3,340</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land</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467</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186,147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168,308</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(70,010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(61,925</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116,137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106,383</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7163" w:type="dxa"/>
        <w:jc w:val="left"/>
        <w:tblInd w:w="0" w:type="dxa"/>
        <w:tblLayout w:type="fixed"/>
        <w:tblCellMar>
          <w:top w:w="0" w:type="dxa"/>
          <w:left w:w="0" w:type="dxa"/>
          <w:bottom w:w="0" w:type="dxa"/>
          <w:right w:w="0" w:type="dxa"/>
        </w:tblCellMar>
      </w:tblPr>
      <w:tblGrid>
        <w:gridCol w:w="3650"/>
        <w:gridCol w:w="120"/>
        <w:gridCol w:w="293"/>
        <w:gridCol w:w="1176"/>
        <w:gridCol w:w="125"/>
        <w:gridCol w:w="251"/>
        <w:gridCol w:w="293"/>
        <w:gridCol w:w="1180"/>
        <w:gridCol w:w="75"/>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 March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7,895</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4,267</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956</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1,537</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8,851</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5,804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76"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3725"/>
        <w:gridCol w:w="120"/>
        <w:gridCol w:w="239"/>
        <w:gridCol w:w="1371"/>
        <w:gridCol w:w="60"/>
        <w:gridCol w:w="120"/>
        <w:gridCol w:w="210"/>
        <w:gridCol w:w="1205"/>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Vendor payables and accrued purchases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413,186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422,853</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51,982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73,330</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39,464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32,854</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Indirect taxes payable</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12,255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11,905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4,585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8,580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warranty</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3,306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4,278</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2,918</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524,898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562,218</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6015" w:type="dxa"/>
        <w:jc w:val="left"/>
        <w:tblInd w:w="0" w:type="dxa"/>
        <w:tblLayout w:type="fixed"/>
        <w:tblCellMar>
          <w:top w:w="0" w:type="dxa"/>
          <w:left w:w="0" w:type="dxa"/>
          <w:bottom w:w="0" w:type="dxa"/>
          <w:right w:w="0" w:type="dxa"/>
        </w:tblCellMar>
      </w:tblPr>
      <w:tblGrid>
        <w:gridCol w:w="2615"/>
        <w:gridCol w:w="120"/>
        <w:gridCol w:w="274"/>
        <w:gridCol w:w="1336"/>
        <w:gridCol w:w="60"/>
        <w:gridCol w:w="120"/>
        <w:gridCol w:w="241"/>
        <w:gridCol w:w="1174"/>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reserves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6,969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6,300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5,339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5,339</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liability</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7,725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5,343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1,289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1,362</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21,322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18,344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unaudited)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425"/>
        <w:gridCol w:w="1640"/>
      </w:tblGrid>
      <w:tr>
        <w:trPr/>
        <w:tc>
          <w:tcPr>
            <w:tcW w:w="425" w:type="dxa"/>
            <w:tcBorders/>
            <w:vAlign w:val="center"/>
          </w:tcPr>
          <w:p>
            <w:pPr>
              <w:pStyle w:val="TableContents"/>
              <w:bidi w:val="0"/>
              <w:spacing w:before="0" w:after="0"/>
              <w:jc w:val="left"/>
              <w:rPr>
                <w:b/>
                <w:spacing w:val="0"/>
              </w:rPr>
            </w:pPr>
            <w:r>
              <w:rPr>
                <w:b/>
                <w:spacing w:val="0"/>
              </w:rPr>
              <w:t>(16)</w:t>
            </w:r>
          </w:p>
        </w:tc>
        <w:tc>
          <w:tcPr>
            <w:tcW w:w="1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Acquisition of Roberson Waite Electric </w:t>
      </w:r>
    </w:p>
    <w:p>
      <w:pPr>
        <w:pStyle w:val="TextBody"/>
        <w:bidi w:val="0"/>
        <w:spacing w:before="120" w:after="0"/>
        <w:jc w:val="left"/>
        <w:rPr>
          <w:rFonts w:ascii="Times New Roman" w:hAnsi="Times New Roman"/>
          <w:sz w:val="20"/>
        </w:rPr>
      </w:pPr>
      <w:r>
        <w:rPr>
          <w:rFonts w:ascii="Times New Roman" w:hAnsi="Times New Roman"/>
          <w:sz w:val="20"/>
        </w:rPr>
        <w:t xml:space="preserve">On April 30, 2026, the Company entered into an agreement to acquire Roberson Waite Electric (“RWE”), a California-based provider of utility substation construction, testing, commissioning, and related infrastructure services, for total estimated consideration of $45 million, subject to customer closing adjustments. The consideration includes $36 million to be paid in cash at closing, with the remainder to be paid in subsequent years subject to various performance criteria. The Company expects to close the transaction by the third quarter of 2026.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27005_12"/>
      <w:bookmarkEnd w:id="7"/>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as of March 31, 2026, and should be read in conjunction with our unaudited consolidated financial statements and notes thereto included elsewhere in this Quarterly Report.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this Quarterly Report, including the “Cautionary Note Regarding Forward-Looking Statements,” and “Item 1A. Risk Factors” in our Annual Report on Form 10-K for the year ended December 31, 2025. Our actual results may differ materially from those contained in or implied by these forward-looking statements. We disclaim any obligation to update any forward-looking statements to reflect events or circumstances after the date of such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IPO </w:t>
      </w:r>
    </w:p>
    <w:p>
      <w:pPr>
        <w:pStyle w:val="TextBody"/>
        <w:bidi w:val="0"/>
        <w:spacing w:before="120" w:after="0"/>
        <w:jc w:val="left"/>
        <w:rPr>
          <w:rFonts w:ascii="Times New Roman" w:hAnsi="Times New Roman"/>
          <w:sz w:val="20"/>
        </w:rPr>
      </w:pPr>
      <w:r>
        <w:rPr>
          <w:rFonts w:ascii="Times New Roman" w:hAnsi="Times New Roman"/>
          <w:sz w:val="20"/>
        </w:rPr>
        <w:t xml:space="preserve">We completed the IPO on February 12, 2026, in which we issued and sold 23,575,000 shares of the Class A common stock at a price of $25.00 per share, resulting in gross proceeds to us approximately $589.4 million, and after deducting the underwriting discounts and commissions, net proceeds of approximately $552.5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results of operations discussed in this Quarterly Report are those of SOLV Energy Holdings LLC prior to the completion of the Transactions, including the IPO. As a result, the historical consolidated financial data may not give you an accurate indication of what our actual results would have been if the Transactions had been completed at the beginning of the periods presented or of what our future results of operations are likely to be. See “The Transactions” in our Annual Report on Form 10-K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Our revenues, profit, margins and other results of operations can be influenced by a variety of factors in any given period, including those described under the section entitled “Risk Factors” included elsewhere in this Quarterly Report and in our Annual Report on Form 10-K for the year ended December 31, 2025, and those factors have caused fluctuations in our results in the past and are expected to cause fluctuations in our results of operations in the future. For additional information, see “</w:t>
      </w:r>
      <w:r>
        <w:rPr>
          <w:rFonts w:ascii="Times New Roman" w:hAnsi="Times New Roman"/>
          <w:i/>
          <w:sz w:val="20"/>
        </w:rPr>
        <w:t>Part II, Item 7. Management’s Discussion and Analysis of Financial Condition and Results of Operations—Key Factors Affecting Our Performance</w:t>
      </w:r>
      <w:r>
        <w:rPr>
          <w:rFonts w:ascii="Times New Roman" w:hAnsi="Times New Roman"/>
          <w:sz w:val="20"/>
        </w:rPr>
        <w:t xml:space="preserve">” included in our Annual Report on Form 10-K for the year ended December 31, 2025. There have been no material changes to the these factors since our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summary of our financial highlights for the periods indicated: </w:t>
      </w:r>
    </w:p>
    <w:p>
      <w:pPr>
        <w:pStyle w:val="TextBody"/>
        <w:bidi w:val="0"/>
        <w:spacing w:before="0" w:after="0"/>
        <w:jc w:val="left"/>
        <w:rPr/>
      </w:pPr>
      <w:r>
        <w:rPr/>
        <w:t> </w:t>
      </w:r>
    </w:p>
    <w:tbl>
      <w:tblPr>
        <w:tblW w:w="5712" w:type="dxa"/>
        <w:jc w:val="left"/>
        <w:tblInd w:w="0" w:type="dxa"/>
        <w:tblLayout w:type="fixed"/>
        <w:tblCellMar>
          <w:top w:w="0" w:type="dxa"/>
          <w:left w:w="0" w:type="dxa"/>
          <w:bottom w:w="0" w:type="dxa"/>
          <w:right w:w="0" w:type="dxa"/>
        </w:tblCellMar>
      </w:tblPr>
      <w:tblGrid>
        <w:gridCol w:w="2105"/>
        <w:gridCol w:w="120"/>
        <w:gridCol w:w="214"/>
        <w:gridCol w:w="1232"/>
        <w:gridCol w:w="238"/>
        <w:gridCol w:w="184"/>
        <w:gridCol w:w="214"/>
        <w:gridCol w:w="1235"/>
        <w:gridCol w:w="170"/>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7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i/>
              </w:rPr>
            </w:pPr>
            <w:r>
              <w:rPr>
                <w:i/>
              </w:rPr>
              <w:t>(dollars in thousands)</w:t>
            </w:r>
          </w:p>
        </w:tc>
        <w:tc>
          <w:tcPr>
            <w:tcW w:w="120" w:type="dxa"/>
            <w:tcBorders/>
            <w:vAlign w:val="center"/>
          </w:tcPr>
          <w:p>
            <w:pPr>
              <w:pStyle w:val="TableContents"/>
              <w:bidi w:val="0"/>
              <w:spacing w:before="0" w:after="283"/>
              <w:jc w:val="left"/>
              <w:rPr/>
            </w:pPr>
            <w:r>
              <w:rPr/>
              <w:t>  </w:t>
            </w:r>
          </w:p>
        </w:tc>
        <w:tc>
          <w:tcPr>
            <w:tcW w:w="1446" w:type="dxa"/>
            <w:gridSpan w:val="2"/>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676,805</w:t>
            </w:r>
          </w:p>
        </w:tc>
        <w:tc>
          <w:tcPr>
            <w:tcW w:w="23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407,847</w:t>
            </w:r>
          </w:p>
        </w:tc>
        <w:tc>
          <w:tcPr>
            <w:tcW w:w="170"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119,073</w:t>
            </w:r>
          </w:p>
        </w:tc>
        <w:tc>
          <w:tcPr>
            <w:tcW w:w="23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59,099</w:t>
            </w:r>
          </w:p>
        </w:tc>
        <w:tc>
          <w:tcPr>
            <w:tcW w:w="17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(27,414</w:t>
            </w:r>
          </w:p>
        </w:tc>
        <w:tc>
          <w:tcPr>
            <w:tcW w:w="23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(502</w:t>
            </w:r>
          </w:p>
        </w:tc>
        <w:tc>
          <w:tcPr>
            <w:tcW w:w="170"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5,929</w:t>
            </w:r>
          </w:p>
        </w:tc>
        <w:tc>
          <w:tcPr>
            <w:tcW w:w="23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28,751</w:t>
            </w:r>
          </w:p>
        </w:tc>
        <w:tc>
          <w:tcPr>
            <w:tcW w:w="17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92,515</w:t>
            </w:r>
          </w:p>
        </w:tc>
        <w:tc>
          <w:tcPr>
            <w:tcW w:w="23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34,031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disaggregated by job type </w:t>
      </w:r>
    </w:p>
    <w:p>
      <w:pPr>
        <w:pStyle w:val="TextBody"/>
        <w:bidi w:val="0"/>
        <w:spacing w:before="0" w:after="0"/>
        <w:jc w:val="left"/>
        <w:rPr/>
      </w:pPr>
      <w:r>
        <w:rPr/>
        <w:t> </w:t>
      </w:r>
    </w:p>
    <w:tbl>
      <w:tblPr>
        <w:tblW w:w="5618" w:type="dxa"/>
        <w:jc w:val="left"/>
        <w:tblInd w:w="0" w:type="dxa"/>
        <w:tblLayout w:type="fixed"/>
        <w:tblCellMar>
          <w:top w:w="0" w:type="dxa"/>
          <w:left w:w="0" w:type="dxa"/>
          <w:bottom w:w="0" w:type="dxa"/>
          <w:right w:w="0" w:type="dxa"/>
        </w:tblCellMar>
      </w:tblPr>
      <w:tblGrid>
        <w:gridCol w:w="2105"/>
        <w:gridCol w:w="120"/>
        <w:gridCol w:w="225"/>
        <w:gridCol w:w="1289"/>
        <w:gridCol w:w="95"/>
        <w:gridCol w:w="192"/>
        <w:gridCol w:w="225"/>
        <w:gridCol w:w="1292"/>
        <w:gridCol w:w="7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i/>
              </w:rPr>
            </w:pPr>
            <w:r>
              <w:rPr>
                <w:i/>
              </w:rPr>
              <w:t>(dollars in thousands)</w:t>
            </w:r>
          </w:p>
        </w:tc>
        <w:tc>
          <w:tcPr>
            <w:tcW w:w="120" w:type="dxa"/>
            <w:tcBorders/>
            <w:vAlign w:val="center"/>
          </w:tcPr>
          <w:p>
            <w:pPr>
              <w:pStyle w:val="TableContents"/>
              <w:bidi w:val="0"/>
              <w:spacing w:before="0" w:after="283"/>
              <w:jc w:val="left"/>
              <w:rPr/>
            </w:pPr>
            <w:r>
              <w:rPr/>
              <w:t>  </w:t>
            </w:r>
          </w:p>
        </w:tc>
        <w:tc>
          <w:tcPr>
            <w:tcW w:w="15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650,733</w:t>
            </w:r>
          </w:p>
        </w:tc>
        <w:tc>
          <w:tcPr>
            <w:tcW w:w="9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377,161</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24,964</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26,508</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1,108</w:t>
            </w:r>
          </w:p>
        </w:tc>
        <w:tc>
          <w:tcPr>
            <w:tcW w:w="9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4,178</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1289"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283"/>
              <w:jc w:val="right"/>
              <w:rPr/>
            </w:pPr>
            <w:r>
              <w:rPr/>
              <w:t>676,805</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407,847</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1289"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129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for jobs involving the construction of a new solar, battery storage, T&amp;D or other project pursuant to EPC contracts or LNTP agreements.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from jobs involving maintaining, upgrading, repowering, expanding or repairing existing solar, battery storage, T&amp;D or other projects pursuant to commercial agreements.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development fees from the sale of projects we developed and sold to third parties and SDI small and large diameter drilling projects. Also includes certain construction management services that we no longer offer.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New construction revenue by project type </w:t>
      </w:r>
    </w:p>
    <w:p>
      <w:pPr>
        <w:pStyle w:val="TextBody"/>
        <w:bidi w:val="0"/>
        <w:spacing w:before="0" w:after="0"/>
        <w:jc w:val="left"/>
        <w:rPr/>
      </w:pPr>
      <w:r>
        <w:rPr/>
        <w:t> </w:t>
      </w:r>
    </w:p>
    <w:tbl>
      <w:tblPr>
        <w:tblW w:w="6563" w:type="dxa"/>
        <w:jc w:val="left"/>
        <w:tblInd w:w="0" w:type="dxa"/>
        <w:tblLayout w:type="fixed"/>
        <w:tblCellMar>
          <w:top w:w="0" w:type="dxa"/>
          <w:left w:w="0" w:type="dxa"/>
          <w:bottom w:w="0" w:type="dxa"/>
          <w:right w:w="0" w:type="dxa"/>
        </w:tblCellMar>
      </w:tblPr>
      <w:tblGrid>
        <w:gridCol w:w="3050"/>
        <w:gridCol w:w="120"/>
        <w:gridCol w:w="225"/>
        <w:gridCol w:w="1289"/>
        <w:gridCol w:w="95"/>
        <w:gridCol w:w="192"/>
        <w:gridCol w:w="225"/>
        <w:gridCol w:w="1292"/>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i/>
              </w:rPr>
            </w:pPr>
            <w:r>
              <w:rPr>
                <w:i/>
              </w:rPr>
              <w:t>(dollars in thousands)</w:t>
            </w:r>
          </w:p>
        </w:tc>
        <w:tc>
          <w:tcPr>
            <w:tcW w:w="120" w:type="dxa"/>
            <w:tcBorders/>
            <w:vAlign w:val="center"/>
          </w:tcPr>
          <w:p>
            <w:pPr>
              <w:pStyle w:val="TableContents"/>
              <w:bidi w:val="0"/>
              <w:spacing w:before="0" w:after="283"/>
              <w:jc w:val="left"/>
              <w:rPr/>
            </w:pPr>
            <w:r>
              <w:rPr/>
              <w:t>  </w:t>
            </w:r>
          </w:p>
        </w:tc>
        <w:tc>
          <w:tcPr>
            <w:tcW w:w="15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Solar PV / Solar PV + Battery Storage</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577,338</w:t>
            </w:r>
          </w:p>
        </w:tc>
        <w:tc>
          <w:tcPr>
            <w:tcW w:w="9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350,166</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Standalone Battery Storage</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23,071</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9,542</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T&amp;D</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50,324</w:t>
            </w:r>
          </w:p>
        </w:tc>
        <w:tc>
          <w:tcPr>
            <w:tcW w:w="95"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17,453</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1289"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283"/>
              <w:jc w:val="right"/>
              <w:rPr/>
            </w:pPr>
            <w:r>
              <w:rPr/>
              <w:t>650,733</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377,161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1289"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129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For infrastructure services providers, backlog can be an indicator of future revenue. As of March 31, 2026 and December 31, 2025, our Total Backlog was $8,166 million and $8,024 million, respectively, which includes all Signed Backlog,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For a description of backlog categories, our methodology for determining backlog, and differences from remaining performance obligations, see “</w:t>
      </w:r>
      <w:r>
        <w:rPr>
          <w:rFonts w:ascii="Times New Roman" w:hAnsi="Times New Roman"/>
          <w:i/>
          <w:sz w:val="20"/>
        </w:rPr>
        <w:t>Part II, Item 7. Management’s Discussion and Analysis of Financial Condition and Results of Operations</w:t>
      </w:r>
      <w:r>
        <w:rPr>
          <w:rFonts w:ascii="Times New Roman" w:hAnsi="Times New Roman"/>
          <w:sz w:val="20"/>
        </w:rPr>
        <w:t>—</w:t>
      </w:r>
      <w:r>
        <w:rPr>
          <w:rFonts w:ascii="Times New Roman" w:hAnsi="Times New Roman"/>
          <w:i/>
          <w:sz w:val="20"/>
        </w:rPr>
        <w:t>Key Performance Indicators and Non-GAAP Financial Measures</w:t>
      </w:r>
      <w:r>
        <w:rPr>
          <w:rFonts w:ascii="Times New Roman" w:hAnsi="Times New Roman"/>
          <w:sz w:val="20"/>
        </w:rPr>
        <w:t xml:space="preserve">” in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and projects can also remain in backlog for extended periods of time as a result of customer delays, permitting or regulatory delays, equipment delays or project specific issues.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our results of operations for the three months ended March 31, 2026 and 2025 is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Three Months Ended March 31, 2026 Compared to Three Months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consolidated results of operations for the three months ended March 31, 2026 and 2025, including as a percentage of revenue, as well as the dollar and percentage change from the prior year’s three months ended: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2"/>
        <w:gridCol w:w="120"/>
        <w:gridCol w:w="140"/>
        <w:gridCol w:w="800"/>
        <w:gridCol w:w="155"/>
        <w:gridCol w:w="120"/>
        <w:gridCol w:w="60"/>
        <w:gridCol w:w="560"/>
        <w:gridCol w:w="299"/>
        <w:gridCol w:w="60"/>
        <w:gridCol w:w="140"/>
        <w:gridCol w:w="800"/>
        <w:gridCol w:w="155"/>
        <w:gridCol w:w="120"/>
        <w:gridCol w:w="60"/>
        <w:gridCol w:w="560"/>
        <w:gridCol w:w="299"/>
        <w:gridCol w:w="60"/>
        <w:gridCol w:w="140"/>
        <w:gridCol w:w="800"/>
        <w:gridCol w:w="155"/>
        <w:gridCol w:w="120"/>
        <w:gridCol w:w="60"/>
        <w:gridCol w:w="755"/>
        <w:gridCol w:w="315"/>
      </w:tblGrid>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2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676,805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407,847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268,958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65.9</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557,732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82.4</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348,748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85.5</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208,984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59.9</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119,073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17.6</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59,099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14.5</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59,974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101.5</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expenses(1)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111,375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16.5</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36,070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8.8</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75,305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208.8</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14,879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126,254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18.7</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49,838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12.2</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76,416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153.3</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(177.5</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10,688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NM</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(45.7</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(0.8</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(55.7</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(182.9</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(23,248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(23,008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9586.7</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0.6</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1490.1</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(27,414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(26,912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5361.0</w:t>
            </w:r>
          </w:p>
        </w:tc>
        <w:tc>
          <w:tcPr>
            <w:tcW w:w="315" w:type="dxa"/>
            <w:tcBorders/>
            <w:vAlign w:val="center"/>
          </w:tcPr>
          <w:p>
            <w:pPr>
              <w:pStyle w:val="TableContents"/>
              <w:bidi w:val="0"/>
              <w:spacing w:before="0" w:after="283"/>
              <w:jc w:val="left"/>
              <w:rPr/>
            </w:pPr>
            <w:r>
              <w:rPr/>
              <w:t>% </w:t>
            </w:r>
          </w:p>
        </w:tc>
      </w:tr>
      <w:tr>
        <w:trPr/>
        <w:tc>
          <w:tcPr>
            <w:tcW w:w="33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 and LLC members prior to IPO</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(0.6</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2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(2013.2</w:t>
            </w:r>
          </w:p>
        </w:tc>
        <w:tc>
          <w:tcPr>
            <w:tcW w:w="315" w:type="dxa"/>
            <w:tcBorders/>
            <w:shd w:fill="CCEEFF" w:val="clear"/>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SOLV Energy,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(23,358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(22,644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3171.4</w:t>
            </w:r>
          </w:p>
        </w:tc>
        <w:tc>
          <w:tcPr>
            <w:tcW w:w="315"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3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non-cash compensation expense of $64.9 million and $0.7 million for the three months ended March 31, 2026 and 2025, respectively, related primarily to the modification and accelerated vesting of legacy equity awards in connection with the IPO.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fees paid to American Securities, that will no longer be paid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$750 and $750 for the three months ended March 31, 2026 and 2025, respectively. For the three months ended March 31, 2026, we recorded $6,491 related to transaction and integration costs, and non-capitalized IPO related costs, and wrote-off $3,939 of capitalized development costs included in cost of revenue related to activity from the historical development business no longer in service, which were offset by miscellaneous immaterial adjustments.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$269.0 million to $676.8 million for the three months ended March 31, 2026 compared to $407.8 million for the three months ended March 31, 2025, which was primarily driven by an increase in new construction of $246.9 million, revenues from acquisition activity of $26.1 million, a decrease in existing infrastructure of $1.5 million attributable to a significant repair project in 2025 and a decrease of development sales of $2.5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$209.0 million to $557.7 million for the three months ended March 31, 2026 compared to $348.7 million for the three months ended March 31, 2025, which generally correlates to the increase in revenues. Gross profit as a percentage of revenue increased for the three months ended March 31, 2026 as compared to the three months ended March 31, 2025 due to productivity efficiencies partly related to favorable weather conditions in parts of the country, improved pricing and vendor recoveries related to prior period reserves, partially offset by a one-time development expense impairment related to the termination of the project development business and non-cash compensation expense primarily from fair value adjustments to RUA liability.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5"/>
        <w:gridCol w:w="120"/>
        <w:gridCol w:w="140"/>
        <w:gridCol w:w="800"/>
        <w:gridCol w:w="60"/>
        <w:gridCol w:w="120"/>
        <w:gridCol w:w="60"/>
        <w:gridCol w:w="560"/>
        <w:gridCol w:w="275"/>
        <w:gridCol w:w="60"/>
        <w:gridCol w:w="140"/>
        <w:gridCol w:w="680"/>
        <w:gridCol w:w="60"/>
        <w:gridCol w:w="120"/>
        <w:gridCol w:w="60"/>
        <w:gridCol w:w="560"/>
        <w:gridCol w:w="275"/>
        <w:gridCol w:w="60"/>
        <w:gridCol w:w="140"/>
        <w:gridCol w:w="680"/>
        <w:gridCol w:w="60"/>
        <w:gridCol w:w="120"/>
        <w:gridCol w:w="60"/>
        <w:gridCol w:w="740"/>
        <w:gridCol w:w="290"/>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111,375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36,070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75,305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208.8</w:t>
            </w:r>
          </w:p>
        </w:tc>
        <w:tc>
          <w:tcPr>
            <w:tcW w:w="29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Non-cash 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8,265.2</w:t>
            </w:r>
          </w:p>
        </w:tc>
        <w:tc>
          <w:tcPr>
            <w:tcW w:w="29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Transaction, integration, and non-capitalized IPO related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100.4</w:t>
            </w:r>
          </w:p>
        </w:tc>
        <w:tc>
          <w:tcPr>
            <w:tcW w:w="29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Remaining selling, general and administrative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45,324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32,119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41.1</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increased by $75.3 million to $111.4 million for the three months ended March 31, 2026 compared to $36.1 million for the three months ended March 31, 2025, which was primarily as a result of an increase of $59.6 million of non-cash compensation expense related to the modification of legacy equity awards in the IPO reorganization, which resulted in a $52.3 million one-time charge, as well as $2.3 million fair value adjustment to RUA liability based on fair value of stock price and $1.5 million of restricted stock and stock option grants. The increase was also driven by $13.8 million related to more investment in the organization to support administrative needs and new growth, $3.3 million of non-recurring costs related to mergers and acquisitions, integration costs, and costs to prepare the company for an initial public offering, partially offset by $0.7 million of lower depreciation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increased by $1.1 million to $14.9 million for the three months ended March 31, 2026 compared to $13.8 million for the three months ended March 31, 2025, which was a result of amortization expense related to newly acquired intangible assets resulting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$5.8 million to $6.9 million for the three months ended March 31, 2026 compared to $12.7 million for the three months ended March 31, 2025, which was primarily driven by lower interest expense as a result of the retirement of the term loan from proceeds from the IPO in February 2026.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decreased by $1.8 million to $1.5 million for the three months ended March 31, 2026 compared to $3.3 million for the three months ended March 31, 2025, which was primarily a result of customer interest received from delayed payments of $2.2 million in 2025, partially offset by $0.4 million higher interest income on higher cash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(income) loss,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$0.2 million to income of $0.1 million for the three months ended March 31, 2026 compared to a loss of $0.1 million for the three months ended March 31, 2025, which was a result of $0.1 million removal of interest rate collar related to the term loan and $0.1 million income from equipment rentals.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$3.9 million to $4.2 million for the three months ended March 31, 2026, compared to $0.3 million for the three months ended March 31, 2025. The increase primarily resulted from the Company becoming subject to U.S. federal, state and local income taxes on its allocable share of taxable income of SOLV Energy Holdings LLC following the IPO and Transactions, as well as the impact of a one-time, non-cash stock-based compensation charge related to the modification of legacy equity awards that was not deductible for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line items in our consolidated statements of operations. There have been no material changes to the components of our results of operations described in </w:t>
      </w:r>
      <w:r>
        <w:rPr>
          <w:rFonts w:ascii="Times New Roman" w:hAnsi="Times New Roman"/>
          <w:i/>
          <w:sz w:val="20"/>
        </w:rPr>
        <w:t>Part II, Item 7. Management’s Discussion and Analysis of Financial Condition and Results of Operations</w:t>
      </w:r>
      <w:r>
        <w:rPr>
          <w:rFonts w:ascii="Times New Roman" w:hAnsi="Times New Roman"/>
          <w:sz w:val="20"/>
        </w:rPr>
        <w:t xml:space="preserve"> of our Annual Report on Form 10-K for the year ended December 31, 2025, except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Non-controlling interest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our wholly-owned subsidiary was appointed as the sole managing member of SOLV Energy Holdings LLC pursuant to the SOLV Energy Holdings LLC Agreement. Because we indirectly manage and operate the business and control the strategic decisions and day-to-day operations of SOLV Energy Holdings LLC and also have a substantial financial interest in SOLV Energy Holdings LLC, we consolidate the financial results of SOLV Energy Holdings LLC, and a portion of our net income (loss) is allocated to the non-controlling interest to reflect the entitlement of the Continuing Equity Owners to a portion of SOLV Energy Holdings LLC’s net income (loss). We hold approximately 57.0% of the LLC Interests, which includes the impacts of the underwriters’ over-allotment exercise, and the remaining LLC Interests are held by the Continuing Equity Owners.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business was historically operated through SOLV Energy Holdings LLC, a limited liability company. For U.S. federal income tax purposes, SOLV Energy Holdings LLC was historically treated as an entity disregarded 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Spartan Infrastructure, Inc. (a subsidiary of SOLV Energy Holdings LLC) is a corporation for U.S. federal income tax purposes that is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SOLV Energy Holdings LLC became taxable as a partnership for U.S. federal income tax purposes (which will be a continuation of SOLV Energy Parent Holdings LP for U.S. federal income tax purposes) and SOLV Energy, Inc. acquired LLC Interests in SOLV Energy Holdings LLC. As a partnership for U.S. federal income tax purposes, SOLV Energy Holdings LLC will generally not be subject to U.S. federal income tax. As a result of its ownership of LLC Interests, SOLV Energy, Inc., which is a corporation for U.S. federal income tax purposes, will be subject to U.S. federal, state and local income taxes with respect to its allocable share of any taxable income of SOLV Energy Holdings LLC and will be taxed at the prevailing corporate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Key Performance Indicators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use backlog to forecast our future capital needs and to identify future operating trends that may not otherwise be apparent. We present Total Backlog, which includes all Signed Backlog and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 xml:space="preserve">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 Additionally, backlog differs from the amount of the remaining performance obligations, which are described in Note 4—Revenue from Contracts with Customers in the notes to the unaudited condensed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is defined as gross profit divided by total revenue. We use this metric because it provides insights into the profitability of our jobs and helps us make informed decisions about our cost management. </w:t>
      </w:r>
    </w:p>
    <w:p>
      <w:pPr>
        <w:pStyle w:val="TextBody"/>
        <w:bidi w:val="0"/>
        <w:spacing w:before="0" w:after="0"/>
        <w:jc w:val="left"/>
        <w:rPr/>
      </w:pPr>
      <w:r>
        <w:rPr/>
        <w:t> </w:t>
      </w:r>
    </w:p>
    <w:tbl>
      <w:tblPr>
        <w:tblW w:w="7481" w:type="dxa"/>
        <w:jc w:val="left"/>
        <w:tblInd w:w="0" w:type="dxa"/>
        <w:tblLayout w:type="fixed"/>
        <w:tblCellMar>
          <w:top w:w="0" w:type="dxa"/>
          <w:left w:w="0" w:type="dxa"/>
          <w:bottom w:w="0" w:type="dxa"/>
          <w:right w:w="0" w:type="dxa"/>
        </w:tblCellMar>
      </w:tblPr>
      <w:tblGrid>
        <w:gridCol w:w="3755"/>
        <w:gridCol w:w="120"/>
        <w:gridCol w:w="209"/>
        <w:gridCol w:w="1198"/>
        <w:gridCol w:w="411"/>
        <w:gridCol w:w="89"/>
        <w:gridCol w:w="209"/>
        <w:gridCol w:w="1200"/>
        <w:gridCol w:w="29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1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i/>
              </w:rPr>
            </w:pPr>
            <w:r>
              <w:rPr>
                <w:i/>
              </w:rPr>
              <w:t>(in thousands, except for gross margin)</w:t>
            </w:r>
          </w:p>
        </w:tc>
        <w:tc>
          <w:tcPr>
            <w:tcW w:w="12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09"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676,805</w:t>
            </w:r>
          </w:p>
        </w:tc>
        <w:tc>
          <w:tcPr>
            <w:tcW w:w="41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407,847</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557,732</w:t>
            </w:r>
          </w:p>
        </w:tc>
        <w:tc>
          <w:tcPr>
            <w:tcW w:w="41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348,748</w:t>
            </w:r>
          </w:p>
        </w:tc>
        <w:tc>
          <w:tcPr>
            <w:tcW w:w="29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198" w:type="dxa"/>
            <w:tcBorders/>
            <w:vAlign w:val="center"/>
          </w:tcPr>
          <w:p>
            <w:pPr>
              <w:pStyle w:val="TableContents"/>
              <w:pBdr>
                <w:top w:val="single" w:sz="2" w:space="1" w:color="000000"/>
              </w:pBdr>
              <w:bidi w:val="0"/>
              <w:spacing w:before="0" w:after="0"/>
              <w:jc w:val="left"/>
              <w:rPr/>
            </w:pPr>
            <w:r>
              <w:rPr/>
              <w:t> </w:t>
            </w:r>
          </w:p>
        </w:tc>
        <w:tc>
          <w:tcPr>
            <w:tcW w:w="41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pBdr>
                <w:top w:val="single" w:sz="2" w:space="1" w:color="000000"/>
              </w:pBdr>
              <w:bidi w:val="0"/>
              <w:spacing w:before="0" w:after="0"/>
              <w:jc w:val="left"/>
              <w:rPr/>
            </w:pPr>
            <w:r>
              <w:rPr/>
              <w:t> </w:t>
            </w:r>
          </w:p>
        </w:tc>
        <w:tc>
          <w:tcPr>
            <w:tcW w:w="12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119,073</w:t>
            </w:r>
          </w:p>
        </w:tc>
        <w:tc>
          <w:tcPr>
            <w:tcW w:w="41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59,099</w:t>
            </w:r>
          </w:p>
        </w:tc>
        <w:tc>
          <w:tcPr>
            <w:tcW w:w="29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17.6</w:t>
            </w:r>
          </w:p>
        </w:tc>
        <w:tc>
          <w:tcPr>
            <w:tcW w:w="41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14.5</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EBITDA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financial measures determined in accordance with GAAP, we consider a variety of financial and operating measures in assessing the performance of our business. The key non-GAAP measures we use are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represents net income (loss)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(vi) Tax Receivable Agreement liability remeasurements; and (vii)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w:t>
      </w:r>
    </w:p>
    <w:p>
      <w:pPr>
        <w:pStyle w:val="TextBody"/>
        <w:bidi w:val="0"/>
        <w:spacing w:before="240" w:after="0"/>
        <w:jc w:val="left"/>
        <w:rPr>
          <w:rFonts w:ascii="Times New Roman" w:hAnsi="Times New Roman"/>
          <w:sz w:val="20"/>
        </w:rPr>
      </w:pPr>
      <w:r>
        <w:rPr>
          <w:rFonts w:ascii="Times New Roman" w:hAnsi="Times New Roman"/>
          <w:sz w:val="20"/>
        </w:rPr>
        <w:t xml:space="preserve">Our presentation of EBITDA and Adjusted EBITDA should not be construed to imply that our future results will be unaffected by these items. We present EBITDA and Adjusted EBITDA because we believe they provide a 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EBITDA and Adjusted EBITDA, you should be aware that in the future we may incur expenses similar to those eliminated in this Quarterly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the differences between Adjusted EBITDA and net income (loss), which is the most comparable GAAP measure: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18"/>
        <w:gridCol w:w="120"/>
        <w:gridCol w:w="231"/>
        <w:gridCol w:w="1249"/>
        <w:gridCol w:w="255"/>
        <w:gridCol w:w="197"/>
        <w:gridCol w:w="231"/>
        <w:gridCol w:w="1129"/>
        <w:gridCol w:w="175"/>
      </w:tblGrid>
      <w:tr>
        <w:trPr/>
        <w:tc>
          <w:tcPr>
            <w:tcW w:w="6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pPr>
            <w:r>
              <w:rPr/>
              <w:t>(in thousands)</w:t>
            </w:r>
          </w:p>
        </w:tc>
        <w:tc>
          <w:tcPr>
            <w:tcW w:w="12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(27,414</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(502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6,897</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12,691</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(1,450</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(3,272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4,166</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262</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23,730</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19,572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129" w:type="dxa"/>
            <w:tcBorders/>
            <w:vAlign w:val="center"/>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5,929</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28,751</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64,874</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712</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the disposal of property and equipment</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(10</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10,688</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82</w:t>
            </w:r>
          </w:p>
        </w:tc>
        <w:tc>
          <w:tcPr>
            <w:tcW w:w="175" w:type="dxa"/>
            <w:tcBorders/>
            <w:vAlign w:val="center"/>
          </w:tcPr>
          <w:p>
            <w:pPr>
              <w:pStyle w:val="TableContents"/>
              <w:bidi w:val="0"/>
              <w:spacing w:before="0" w:after="283"/>
              <w:jc w:val="left"/>
              <w:rPr/>
            </w:pPr>
            <w:r>
              <w:rPr/>
              <w:t> </w:t>
            </w:r>
          </w:p>
        </w:tc>
      </w:tr>
      <w:tr>
        <w:trPr/>
        <w:tc>
          <w:tcPr>
            <w:tcW w:w="66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11,034</w:t>
            </w:r>
          </w:p>
        </w:tc>
        <w:tc>
          <w:tcPr>
            <w:tcW w:w="25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4,486</w:t>
            </w:r>
          </w:p>
        </w:tc>
        <w:tc>
          <w:tcPr>
            <w:tcW w:w="175" w:type="dxa"/>
            <w:tcBorders/>
            <w:shd w:fill="CCEEFF" w:val="clear"/>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92,515</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129" w:type="dxa"/>
            <w:tcBorders/>
            <w:vAlign w:val="center"/>
          </w:tcPr>
          <w:p>
            <w:pPr>
              <w:pStyle w:val="TableContents"/>
              <w:bidi w:val="0"/>
              <w:spacing w:before="0" w:after="283"/>
              <w:jc w:val="right"/>
              <w:rPr/>
            </w:pPr>
            <w:r>
              <w:rPr/>
              <w:t>34,031</w:t>
            </w:r>
          </w:p>
        </w:tc>
        <w:tc>
          <w:tcPr>
            <w:tcW w:w="175" w:type="dxa"/>
            <w:tcBorders/>
            <w:vAlign w:val="center"/>
          </w:tcPr>
          <w:p>
            <w:pPr>
              <w:pStyle w:val="TableContents"/>
              <w:bidi w:val="0"/>
              <w:spacing w:before="0" w:after="283"/>
              <w:jc w:val="left"/>
              <w:rPr/>
            </w:pPr>
            <w:r>
              <w:rPr/>
              <w:t> </w:t>
            </w:r>
          </w:p>
        </w:tc>
      </w:tr>
      <w:tr>
        <w:trPr/>
        <w:tc>
          <w:tcPr>
            <w:tcW w:w="6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249" w:type="dxa"/>
            <w:tcBorders/>
            <w:vAlign w:val="center"/>
          </w:tcPr>
          <w:p>
            <w:pPr>
              <w:pStyle w:val="TableContents"/>
              <w:pBdr>
                <w:top w:val="double" w:sz="6" w:space="1" w:color="000000"/>
              </w:pBdr>
              <w:bidi w:val="0"/>
              <w:spacing w:before="0" w:after="0"/>
              <w:jc w:val="left"/>
              <w:rPr/>
            </w:pPr>
            <w:r>
              <w:rPr/>
              <w:t> </w:t>
            </w:r>
          </w:p>
        </w:tc>
        <w:tc>
          <w:tcPr>
            <w:tcW w:w="25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129" w:type="dxa"/>
            <w:tcBorders/>
            <w:vAlign w:val="center"/>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will no longer incurred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$750 and $750 for the three months ended March 31, 2026 and 2025, respectively. For the three months ended March 31, 2026, we recorded $6,491 related to transaction and integration costs, and non-capitalized IPO related costs, and wrote-off $3,939 of capitalized development costs included in cost of revenue related to activity from the historical development business no longer in service, which were offset by miscellaneous immaterial adjustments.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i/>
          <w:sz w:val="20"/>
        </w:rPr>
      </w:pPr>
      <w:r>
        <w:rPr>
          <w:rFonts w:ascii="Times New Roman" w:hAnsi="Times New Roman"/>
          <w:i/>
          <w:sz w:val="20"/>
        </w:rPr>
        <w:t xml:space="preserve">IPO and Subsequent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2026, we completed our IPO and received $552.5 million net proceeds from the sale of 23,575,000 shares of our Class A common stock at a price to the public of $25.00 per share. The net proceeds from our IPO were used to purchase 23,575,000 newly issued LLC Interests directly from LLC at a price per unit equal to the IPO price per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SOLV Energy Inc. caused SOLV Energy Holdings LLC to use the net proceeds received from the sale of LLC Interests to SOLV Energy, Inc. to repay in full approximately $405.6 million of amounts due upon repayment under the Term Loans, and the remainder for general corporate purposes, which could include growth initiatives, including potential merger and acquisition opportunities. Additionally, we have entered into the New Revolving Credit Facility with various lenders in an aggregate amount of approximately $200.0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funded our operations and business activities primarily from cash flows from operating activities as well as borrowings under our Prior Credit Facilities. As of March 31, 2026, we had $384.9 million of cash, $191.5 million of undrawn availability under our New Revolving Credit Facility and $8.5 million in letters of credit issued and outstanding. We believe that our existing cash balances, cash flows from our operations and borrowings under our New Revolving Credit Facility will be sufficient to fund our operations for at least the next twelve months.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Liquidity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have no material assets other than our ownership of LLC Interests. We have no independent means of generating revenue. The SOLV Energy Holdings LLC Agreement provides for the payment of certain distributions to the Continuing Equity Owners and to us in amounts sufficient to cover the income taxes imposed on such members with respect to the allocation of taxable income from SOLV Energy Holdings LLC as well as to cover our obligations under the Tax Receivable Agreement and other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Regarding the ability of SOLV Energy Holdings LLC to make distributions to us, the terms of our New Revolving Credit Facility contain covenants that may restrict SOLV Energy Holdings LLC or its subsidiaries from paying such distributions, subject to certain exceptions (including with respect to post-IPO public company expenses). Further, SOLV Energy Holdings LLC is generally prohibited under Delaware law from making a distribution to a member to the extent that, at the time of the distribution, after giving effect to the distribution, liabilities of SOLV Energy Holdings LLC (with certain exceptions) exceed the fair value of its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Tax Receivable Agreement, we are required to make cash payments to the TRA Participants equal to 85% of the tax benefits, if any, that we actually realize (or in certain circumstances are deemed to realize), as a result of (i) our allocable share of existing tax basis acquired in connection with the Transactions; (ii) the utilization of certain tax attributes of the Blocker Companies (including net operating losses); (iii) tax basis adjustments resulting from future redemptions or exchanges of LLC Interests; and (iv) certain tax benefits (such as interest deductions) arising from payments made under the Tax Receivable Agreement. We expect the amount of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Owners, the amount and timing of the taxable income we generate in the future, and the tax rates then applicable. Any payments made by us to the TRA Participants under the Tax Receivable Agreement will generally reduce the amount of overall cash flow that might have otherwise been available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in the event we declare any cash dividends, we intend to cause SOLV Energy Holdings LLC to make distributions to us in amounts sufficient to fund such cash dividends declared by us to our stockholders. Deterioration in the financial condition, earnings, or cash flow of SOLV Energy Holdings LLC for any reason could limit or impair its ability to pay such distributions. If we do not have sufficient funds to pay taxes or other liabilities or to fund our operations, we may have to borrow funds, which could materially adversely affect our liquidity and financial condition and subject us to various restrictions imposed by any such lenders.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SOLV Energy Holdings LLC does not have sufficient funds to make distributions, our ability to declare and pay cash dividends will also be restricted or impaired.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Part I—Item 1A. Risk Factors—Risks Related to Our Organizational Structure</w:t>
      </w:r>
      <w:r>
        <w:rPr>
          <w:rFonts w:ascii="Times New Roman" w:hAnsi="Times New Roman"/>
          <w:sz w:val="20"/>
        </w:rPr>
        <w:t>” and “</w:t>
      </w:r>
      <w:r>
        <w:rPr>
          <w:rFonts w:ascii="Times New Roman" w:hAnsi="Times New Roman"/>
          <w:i/>
          <w:sz w:val="20"/>
        </w:rPr>
        <w:t>Part III, Item 13. Certain Relationships and Related Transactions, and Director Independence</w:t>
      </w:r>
      <w:r>
        <w:rPr>
          <w:rFonts w:ascii="Times New Roman" w:hAnsi="Times New Roman"/>
          <w:sz w:val="20"/>
        </w:rPr>
        <w:t xml:space="preserve">” of our Annual Report on Form 10-K for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our consolidated statements of cash flows for the three months ended March 31, 2026 and 2025: </w:t>
      </w:r>
    </w:p>
    <w:p>
      <w:pPr>
        <w:pStyle w:val="TextBody"/>
        <w:bidi w:val="0"/>
        <w:spacing w:before="0" w:after="0"/>
        <w:jc w:val="left"/>
        <w:rPr/>
      </w:pPr>
      <w:r>
        <w:rPr/>
        <w:t> </w:t>
      </w:r>
    </w:p>
    <w:tbl>
      <w:tblPr>
        <w:tblW w:w="6987" w:type="dxa"/>
        <w:jc w:val="left"/>
        <w:tblInd w:w="0" w:type="dxa"/>
        <w:tblLayout w:type="fixed"/>
        <w:tblCellMar>
          <w:top w:w="0" w:type="dxa"/>
          <w:left w:w="0" w:type="dxa"/>
          <w:bottom w:w="0" w:type="dxa"/>
          <w:right w:w="0" w:type="dxa"/>
        </w:tblCellMar>
      </w:tblPr>
      <w:tblGrid>
        <w:gridCol w:w="3380"/>
        <w:gridCol w:w="120"/>
        <w:gridCol w:w="225"/>
        <w:gridCol w:w="1212"/>
        <w:gridCol w:w="248"/>
        <w:gridCol w:w="192"/>
        <w:gridCol w:w="225"/>
        <w:gridCol w:w="121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i/>
              </w:rPr>
            </w:pPr>
            <w:r>
              <w:rPr>
                <w:i/>
              </w:rPr>
              <w:t>(in thousands)</w:t>
            </w:r>
          </w:p>
        </w:tc>
        <w:tc>
          <w:tcPr>
            <w:tcW w:w="12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14,241</w:t>
            </w:r>
          </w:p>
        </w:tc>
        <w:tc>
          <w:tcPr>
            <w:tcW w:w="248"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20,175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(10,440</w:t>
            </w:r>
          </w:p>
        </w:tc>
        <w:tc>
          <w:tcPr>
            <w:tcW w:w="248"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pPr>
            <w:r>
              <w:rPr/>
              <w:t>(13,534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(13,766</w:t>
            </w:r>
          </w:p>
        </w:tc>
        <w:tc>
          <w:tcPr>
            <w:tcW w:w="248"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(5,602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provided by operating activities for the three months ended March 31, 2026 was a net cash inflow of $14.2 million, a decrease of $6.0 million as compared to a net cash inflow of $20.2 million for the three months ended March 31, 2025. This decrease was primarily driven by higher net cash outflows of $58.1 million related to operating assets and liabilities, partially offset by incremental net income of $52.2 million, adjusted for non-cash items.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investing activities for the three months ended March 31, 2026 was a net cash outflow of $10.4 million, a decrease of $3.1 million as compared to a net cash outflow of $13.5 million for the three months ended March 31, 2025. This decrease was primarily driven by a $7.7 million increase in capital expenditures, partially offset by a $10.8 million decrease in cash paid for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financing activities for the three months ended March 31, 2026 was a net cash outflow of $13.8 million, an increase of $8.2 million as compared to a net cash outflow of $5.6 million for the three months ended March 31, 2025. This increase was primarily driven by the increase of the extinguishment of term debt of $404.2 million, incremental distributions to members of SOLV Energy Holdings LLC of $97.0 million, $47.0 million of term debt and equipment financing borrowings in 2025, a $5.5 million increase for payment of deferred acquisition consideration, a $3.5 million increase in payments for offering costs, a $2.8 million increase in payments for debt issuance costs and a $0.9 million increase in the payment of financing leases, offset by net proceeds from issuance of Class A common stock in the IPO of $552.5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please see our discussion included in our Annual Report on Form 10-K for the year ended December 31, 2025. There have been no material changes to the Company’s critical accounting estimates since our Annual Report, except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was historically an entity disregarded as separate from SOLV Energy Parent Holdings LP for U.S. federal income tax purposes. In connection with the Transactions, SOLV Energy Holdings LLC became taxable as a partnership under the appropriate provisions of the Code and will be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 through” basis and are thus payable by the unitholders, SOLV Energy Holdings LLC has historically been subject to certain state and local income taxes at the entity level. In addition, one or more subsidiaries of SOLV Energy Holdings LLC are corporations for U.S. federal income tax purposes that are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After the closing of the IPO, we became subject to U.S. federal, state and local income taxes with respect to our allocable share of any taxable income of SOLV Energy Holdings LLC and are taxed at the prevailing corporate tax rates. In addition to tax expenses, we may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evaluated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ASC 740, </w:t>
      </w:r>
      <w:r>
        <w:rPr>
          <w:rFonts w:ascii="Times New Roman" w:hAnsi="Times New Roman"/>
          <w:i/>
          <w:sz w:val="20"/>
        </w:rPr>
        <w:t>Income Taxes</w:t>
      </w:r>
      <w:r>
        <w:rPr>
          <w:rFonts w:ascii="Times New Roman" w:hAnsi="Times New Roman"/>
          <w:sz w:val="20"/>
        </w:rPr>
        <w:t xml:space="preserve">,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Equity Incentive Plan, which was approved in connection with the IPO, provides for the issuance of equity-based awards, including stock options, stock appreciation rights, restricted stock, restricted stock units and other stock-based awards. We have granted equity instruments consisting of restricted stock awards (“RSAs”), stock options and restricted stock unit appreciation (“RUA”) to certain employees. We recognize non-cash compensation expense for equity awards over the requisite service period. The RSAs, stock options and RUA vest following time-based vesting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RUA is based on the cash amount a holder would receive upon the award’s vesting, which is equal to the fair value of a Class A Unit of SOLV Energy Parent Holdings LP. The fair value of the Class A Units of SOLV Energy Parent Holdings LP is estimated using generally accepted equity valuation and allocation methods. The RSAs are accounted for using a fair-value based method in which the fair values are determined by the stock price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Quarterly Report, all of the RUA awards have vested and will be settled in cash on December 23, 2026, based on the fair market value of the Class A common stock on such date. The amount that is payable to settle the RUA awards is approximately 39.5 million as of March 31, 2026 based on the fair market value of the Class A common stock thereon. </w:t>
      </w:r>
    </w:p>
    <w:p>
      <w:pPr>
        <w:pStyle w:val="TextBody"/>
        <w:bidi w:val="0"/>
        <w:spacing w:before="240" w:after="0"/>
        <w:jc w:val="left"/>
        <w:rPr>
          <w:rFonts w:ascii="Times New Roman" w:hAnsi="Times New Roman"/>
          <w:sz w:val="20"/>
        </w:rPr>
      </w:pPr>
      <w:r>
        <w:rPr>
          <w:rFonts w:ascii="Times New Roman" w:hAnsi="Times New Roman"/>
          <w:sz w:val="20"/>
        </w:rPr>
        <w:t xml:space="preserve">We use the Black-Scholes pricing model to estimate the fair value of the stock options. The Black-Scholes option pricing model requires the input of highly subjective assumptions including the risk-free interest rate, the expected volatility, the expected dividend yield, and the expected time to liquidity. The assumptions used to determine the fair value of the stock options represent our best estimates. These estimates involve inherent uncertainties and the application of management’s judgment. Non-cash compensation expense is based on awards ultimately expected to vest and is reduced for forfeitures as they occur. If factors change and different assumptions are used, our non-cash compensation expense could be materially different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we had no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3—</w:t>
      </w:r>
      <w:r>
        <w:rPr>
          <w:rFonts w:ascii="Times New Roman" w:hAnsi="Times New Roman"/>
          <w:i/>
          <w:sz w:val="20"/>
        </w:rPr>
        <w:t>New Accounting Pronouncements</w:t>
      </w:r>
      <w:r>
        <w:rPr>
          <w:rFonts w:ascii="Times New Roman" w:hAnsi="Times New Roman"/>
          <w:sz w:val="20"/>
        </w:rPr>
        <w:t xml:space="preserve">, to our unaudited condensed consolidated financial statements for the three months ended March 31, 2026 and 2025 included elsewhere in this Quarterly Report for information regarding new accounting pronouncements.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 w:name="toc27005_13"/>
      <w:bookmarkEnd w:id="8"/>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from changes in interest rates and inflation. These market risks arise in the normal course of business. During the three months ended March 31, 2026, there have been no material changes to the information included under “Item 7A. Quantitative and Qualitative Disclosures About Market Risk” in our Annual Report on Form 10-K for the year ended December 31, 2025. </w:t>
      </w:r>
    </w:p>
    <w:p>
      <w:pPr>
        <w:pStyle w:val="TextBody"/>
        <w:bidi w:val="0"/>
        <w:spacing w:before="360" w:after="0"/>
        <w:jc w:val="left"/>
        <w:rPr>
          <w:rFonts w:ascii="Times New Roman" w:hAnsi="Times New Roman"/>
          <w:b/>
          <w:sz w:val="20"/>
        </w:rPr>
      </w:pPr>
      <w:bookmarkStart w:id="9" w:name="toc27005_14"/>
      <w:bookmarkEnd w:id="9"/>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(“CEO”) and Chief Financial Officer (“CFO”),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under the supervision and with the participation of our CEO and CFO, evaluated the effectiveness of our disclosure controls and procedures, as defined in Rules 13a-15(e) and 15(d)-15(e) of the Exchange Act, as of March 31, 2026. Based on such evaluation, our CEO and CFO have concluded that as of March 31, 2026, our disclosure controls and procedures were not effective due to the material weaknesses in our internal control over financial reporting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Previously Reported Material Weaknesses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described in “Item 9.A. Controls and Procedures” in our Annual Report on Form 10-K for the fiscal year ended December 31, 2025, our management identified material weaknesses in our internal control over financial reporting, which continue to exist as of March 31, 2026.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identified the following material weaknesses in our internal control over financial reporting: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as well as controls pertaining to completeness and accuracy of indirect tax accruals on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business combinations and equity award valuations, including review of significant assumptions and valuation methodologies.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Considering the foregoing, we did not maintain sufficient resources to support effective internal control over financial reporting for the year ended December 31, 2025, including personnel with an appropriate level of technical accounting and public company reporting expertise. In addition, we did not select and develop effective control activities across relevant financial reporting processes, including control activities over technology and generation of data, did not establish and deploy adequate policies and procedures and did not adequately capture and communicate certain risks or impacts due to changes in risks to support the execution of control activities. Accordingly, management concluded that these deficiencies in entity level controls also constitute a material weakness. </w:t>
      </w:r>
    </w:p>
    <w:p>
      <w:pPr>
        <w:pStyle w:val="TextBody"/>
        <w:bidi w:val="0"/>
        <w:spacing w:before="240" w:after="0"/>
        <w:jc w:val="left"/>
        <w:rPr>
          <w:rFonts w:ascii="Times New Roman" w:hAnsi="Times New Roman"/>
          <w:sz w:val="20"/>
        </w:rPr>
      </w:pPr>
      <w:r>
        <w:rPr>
          <w:rFonts w:ascii="Times New Roman" w:hAnsi="Times New Roman"/>
          <w:sz w:val="20"/>
        </w:rPr>
        <w:t xml:space="preserve">Nonetheless, management believes that our consolidated financial statements included in this filing have been prepared in accordance with generally accepted accounting principles. Our CEO and CFO have certified that, based on such officer’s knowledge, the financial statements and other financial information included in this filing fairly present in all material respects the financial condition, results of operations and cash flows of the Company as of, and for, the periods presented. In addition, we developed and are implementing a remediation plan for the material weaknesses, as described below. </w:t>
      </w:r>
    </w:p>
    <w:p>
      <w:pPr>
        <w:pStyle w:val="TextBody"/>
        <w:bidi w:val="0"/>
        <w:spacing w:before="240" w:after="0"/>
        <w:jc w:val="left"/>
        <w:rPr>
          <w:rFonts w:ascii="Times New Roman" w:hAnsi="Times New Roman"/>
          <w:b/>
          <w:sz w:val="20"/>
        </w:rPr>
      </w:pPr>
      <w:r>
        <w:rPr>
          <w:rFonts w:ascii="Times New Roman" w:hAnsi="Times New Roman"/>
          <w:b/>
          <w:sz w:val="20"/>
        </w:rPr>
        <w:t xml:space="preserve">Remediation Efforts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described in “Item 9.A. Controls and Procedures” in our Annual Report on Form 10-K for the fiscal year ended December 31, 2025, we take the remediation of the material weaknesses described above seriously and continue to take steps to establish effective internal control over financial reporting. We began implementing a remediation plan to address the material weaknesses identified in the prior year, and our management continues to be actively engaged in the remediation efforts. We have made progress in executing our remediation plan and are continuing to enhance our control environment, including through the following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designing and documenting the Company’s internal control framework and implementing entity level, business process and IT controls. This includes formalizing and performing additional control activities across key financial reporting processes, including process-level and transaction-level controls in areas such as procure-to-pay, revenue recognition, fair value measurements and other significant estimates, period-end financial reporting, and IT General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enhancing our risk assessment procedures through the use of more formalized assessments that consider business risks relevant to financial reporting objectives, including identification of significant entities, accounts, processes and systems, and the relevant assertions, which are refreshed as changes in risk occur and communicating the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strengthening our internal communications around the importance of internal controls and establishing broader oversight responsibilities, including through the use of a formal executive-level Steering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continuing to hire and integrate additional personnel with technical accounting, information technology and public company reporting experience, including individuals with responsibility for the design, execution and review of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enhancing accounting policies and procedures to support the consistent execution, review and documentation of controls across key processes and significant accounting areas;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training and other internal communications to relevant personnel, including process owners and control owners regarding related responsibilities for the design, execution and documentation of internal controls including the generation of data;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additional system capabilities related to procurement to improve process standardization, approvals, and documentation.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believe these actions are improving our internal control over financial reporting, our remediation efforts are ongoing, and the material weaknesses described above will not be considered remediated until the applicable controls have been fully designed and implemented, have operated for a sufficient period of time, and management has concluded, through testing, that these controls are operating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remediation measures described above,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Effectiveness of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 control system, no matter how well-designed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II.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ITEM 1. LEGAL PROCEEDINGS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left"/>
        <w:rPr>
          <w:rFonts w:ascii="Times New Roman" w:hAnsi="Times New Roman"/>
          <w:sz w:val="20"/>
        </w:rPr>
      </w:pPr>
      <w:r>
        <w:rPr>
          <w:rFonts w:ascii="Times New Roman" w:hAnsi="Times New Roman"/>
          <w:sz w:val="20"/>
        </w:rPr>
        <w:t xml:space="preserve">sanctions or relief. We are not currently a party to any actions the outcome of which would, individually or in the aggregate, have a material adverse effect on our business, financial condition or results of operations if determined adversely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1A.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operations and financial results are subject to various risks and uncertainties, including but not limited to those described in “Item 1A. Risk Factors”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which could harm our business, reputation, financial condition, and operating results, and affect the trading price of our Class A common stock. There have been no material changes in the risks affecting the Company since the filing of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2. UNREGISTERED SALES OF EQUITY SECURITIES AND 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the IPO were approximately $552.5 million. We used the net proceeds that we received from the IPO to purchase 23,575,000 LLC Interests from SOLV Energy Holdings LLC at a price per LLC Interest equal to the IPO price of our Class A common stock, less the underwriting discounts and commissions. In turn, we caused SOLV Energy Holdings LLC to use the net proceeds it received from us in connection with the IPO to repay in full approximately $405.6 million of amounts due upon repayment under the Term Loans, and, with respect to the remainder, for general corporate purposes. There has been no material change in the expected use of the net proceeds from the IPO.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3. DEFAULTS UPON SENIOR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ITEM 5.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sz w:val="20"/>
        </w:rPr>
      </w:pPr>
      <w:r>
        <w:rPr>
          <w:rFonts w:ascii="Times New Roman" w:hAnsi="Times New Roman"/>
          <w:b/>
          <w:sz w:val="20"/>
        </w:rPr>
        <w:t xml:space="preserve">Rule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10b5-1</w:t>
      </w:r>
    </w:p>
    <w:p>
      <w:pPr>
        <w:pStyle w:val="TextBody"/>
        <w:bidi w:val="0"/>
        <w:spacing w:before="120" w:after="0"/>
        <w:jc w:val="left"/>
        <w:rPr>
          <w:rFonts w:ascii="Times New Roman" w:hAnsi="Times New Roman"/>
          <w:b/>
          <w:sz w:val="20"/>
        </w:rPr>
      </w:pPr>
      <w:r>
        <w:rPr>
          <w:rFonts w:ascii="Times New Roman" w:hAnsi="Times New Roman"/>
          <w:b/>
          <w:sz w:val="20"/>
        </w:rPr>
        <w:t xml:space="preserve">Trading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quarterly period ended March 31, 2026, no director or officer adopted or terminated a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as each term is defined in Item 408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toc27005_22"/>
      <w:bookmarkEnd w:id="10"/>
      <w:r>
        <w:rPr>
          <w:rFonts w:ascii="Times New Roman" w:hAnsi="Times New Roman"/>
          <w:b/>
          <w:sz w:val="20"/>
        </w:rPr>
        <w:t xml:space="preserve">ITEM 6.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6"/>
        <w:gridCol w:w="120"/>
        <w:gridCol w:w="9179"/>
      </w:tblGrid>
      <w:tr>
        <w:trPr/>
        <w:tc>
          <w:tcPr>
            <w:tcW w:w="9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9" w:type="dxa"/>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b/>
              </w:rPr>
            </w:pPr>
            <w:r>
              <w:rPr>
                <w:b/>
              </w:rPr>
              <w:t>Exhibit</w:t>
              <w:br/>
              <w:t>Number</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b/>
              </w:rPr>
            </w:pPr>
            <w:r>
              <w:rPr>
                <w:b/>
              </w:rPr>
              <w:t>Description of Exhibit</w:t>
            </w:r>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2">
              <w:r>
                <w:rPr>
                  <w:rStyle w:val="InternetLink"/>
                </w:rPr>
                <w:t>Amended and Restated Certificate of Incorporation of SOLV Energy, Inc. (incorporated by reference to Exhibit 3.1 to the Current Report on Form 10-K, filed on March 25, 2026)</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3">
              <w:r>
                <w:rPr>
                  <w:rStyle w:val="InternetLink"/>
                </w:rPr>
                <w:t>Amended and Restated Bylaws of SOLV Energy, Inc. incorporated by reference to Exhibit 3.2 to the Current Report on Form 10-K, filed on March 25, 2026)</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4">
              <w:r>
                <w:rPr>
                  <w:rStyle w:val="InternetLink"/>
                </w:rPr>
                <w:t xml:space="preserve">Credit Agreement, dated as of February 12, 2026, by and among SOLV Energy Intermediate Holdings LLC, SOLV Energy Acquisition LLC, the lenders party thereto and the other parties specified therein and KeyBank National Association, as administrative agent (incorporated by reference to Exhibit 10.6 to the Company’s Current Report on Form 8-K, filed on February 12,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5">
              <w:r>
                <w:rPr>
                  <w:rStyle w:val="InternetLink"/>
                </w:rPr>
                <w:t xml:space="preserve">Amended and Restated SOLV Energy Holdings LLC Agreement, dated February 10, 2026, by and among the Company and the other parties thereto (incorporated by reference to Exhibit 10.4 to the Company’s Current Report on Form 8-K, filed on February 12,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6">
              <w:r>
                <w:rPr>
                  <w:rStyle w:val="InternetLink"/>
                </w:rPr>
                <w:t xml:space="preserve">Tax Receivable Agreement, dated as of February 10, 2026, by and among the Company and the other parties thereto (incorporated by reference to Exhibit 10.2 to the Company’s Current Report on Form 8-K, filed on February 12,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7">
              <w:r>
                <w:rPr>
                  <w:rStyle w:val="InternetLink"/>
                </w:rPr>
                <w:t xml:space="preserve">Registration Rights Agreement, dated as of February 10, 2026, by and among the Company and the other parties thereto (incorporated by reference to Exhibit 10.3 to the Company’s Current Report on Form 8-K, filed on February 12,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8">
              <w:r>
                <w:rPr>
                  <w:rStyle w:val="InternetLink"/>
                </w:rPr>
                <w:t xml:space="preserve">Form of Indemnification Agreement (incorporated by reference to Exhibit 10.7 to the Company’s Registration Statement on Form S-1, filed on January 16,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9">
              <w:r>
                <w:rPr>
                  <w:rStyle w:val="InternetLink"/>
                </w:rPr>
                <w:t xml:space="preserve">SOLV Energy, Inc. 2026 Equity Incentive Plan (incorporated by reference to Exhibit 99.1 to the Company’s Registration Statement on Form S-8 filed on February 11,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10">
              <w:r>
                <w:rPr>
                  <w:rStyle w:val="InternetLink"/>
                </w:rPr>
                <w:t xml:space="preserve">Form of Restricted Stock Award Agreement (incorporated by reference to Exhibit 10.15 to the Company’s Registration Statement on Form S-1, filed on January 16,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r:id="rId11">
              <w:r>
                <w:rPr>
                  <w:rStyle w:val="InternetLink"/>
                </w:rPr>
                <w:t xml:space="preserve">Form of Option Award Agreement (incorporated by reference to Exhibit 10.16 to the Company’s Registration Statement on Form S-1, filed on January 16, 2026).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w:anchor="d27005dex311.htm">
              <w:r>
                <w:rPr>
                  <w:rStyle w:val="InternetLink"/>
                </w:rPr>
                <w:t xml:space="preserve">Certification of Chief Executive Officer pursuant to Section 302 of the Sarbanes-Oxley Act of 2002.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w:anchor="d27005dex312.htm">
              <w:r>
                <w:rPr>
                  <w:rStyle w:val="InternetLink"/>
                </w:rPr>
                <w:t xml:space="preserve">Certification of Chief Financial Officer pursuant to Section 302 of the Sarbanes-Oxley Act of 2002. </w:t>
              </w:r>
            </w:hyperlink>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w:anchor="d27005dex321.htm">
              <w:r>
                <w:rPr>
                  <w:rStyle w:val="InternetLink"/>
                </w:rPr>
                <w:t>Certifications of Chief Executive Officer pursuant to 18 U.S.C. Section 1350, as adopted pursuant to Section 906 of the Sarbanes-Oxley Act of 2002</w:t>
              </w:r>
            </w:hyperlink>
            <w:r>
              <w:rPr/>
              <w:t>.</w:t>
            </w:r>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hyperlink w:anchor="d27005dex322.htm">
              <w:r>
                <w:rPr>
                  <w:rStyle w:val="InternetLink"/>
                </w:rPr>
                <w:t>Certifications of Chief Financial Officer pursuant to 18 U.S.C. Section 1350, as adopted pursuant to Section 906 of the Sarbanes-Oxley Act of 2002</w:t>
              </w:r>
            </w:hyperlink>
            <w:r>
              <w:rPr/>
              <w:t>.</w:t>
            </w:r>
          </w:p>
        </w:tc>
      </w:tr>
      <w:tr>
        <w:trPr/>
        <w:tc>
          <w:tcPr>
            <w:tcW w:w="906" w:type="dxa"/>
            <w:tcBorders/>
            <w:vAlign w:val="center"/>
          </w:tcPr>
          <w:p>
            <w:pPr>
              <w:pStyle w:val="TableContents"/>
              <w:bidi w:val="0"/>
              <w:spacing w:before="0" w:after="283"/>
              <w:jc w:val="left"/>
              <w:rPr>
                <w:sz w:val="4"/>
                <w:szCs w:val="4"/>
              </w:rPr>
            </w:pPr>
            <w:r>
              <w:rPr>
                <w:sz w:val="4"/>
                <w:szCs w:val="4"/>
              </w:rPr>
            </w:r>
          </w:p>
        </w:tc>
        <w:tc>
          <w:tcPr>
            <w:tcW w:w="9299" w:type="dxa"/>
            <w:gridSpan w:val="2"/>
            <w:tcBorders/>
            <w:vAlign w:val="center"/>
          </w:tcPr>
          <w:p>
            <w:pPr>
              <w:pStyle w:val="TableContents"/>
              <w:bidi w:val="0"/>
              <w:spacing w:before="0" w:after="283"/>
              <w:jc w:val="left"/>
              <w:rPr>
                <w:sz w:val="4"/>
                <w:szCs w:val="4"/>
              </w:rPr>
            </w:pPr>
            <w:r>
              <w:rPr>
                <w:sz w:val="4"/>
                <w:szCs w:val="4"/>
              </w:rPr>
            </w:r>
          </w:p>
        </w:tc>
      </w:tr>
      <w:tr>
        <w:trPr/>
        <w:tc>
          <w:tcPr>
            <w:tcW w:w="906"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79"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35" w:type="dxa"/>
        <w:jc w:val="left"/>
        <w:tblInd w:w="0" w:type="dxa"/>
        <w:tblLayout w:type="fixed"/>
        <w:tblCellMar>
          <w:top w:w="0" w:type="dxa"/>
          <w:left w:w="0" w:type="dxa"/>
          <w:bottom w:w="0" w:type="dxa"/>
          <w:right w:w="0" w:type="dxa"/>
        </w:tblCellMar>
      </w:tblPr>
      <w:tblGrid>
        <w:gridCol w:w="1070"/>
        <w:gridCol w:w="120"/>
        <w:gridCol w:w="864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Inline XBRL Taxonomy Extension Schema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Inline XBRL Taxonomy Extension Calculation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Inline XBRL Taxonomy Extension Definition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Inline XBRL Taxonomy Extension Label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Inline XBRL Taxonomy Extension Presentation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305"/>
        <w:gridCol w:w="1295"/>
      </w:tblGrid>
      <w:tr>
        <w:trPr/>
        <w:tc>
          <w:tcPr>
            <w:tcW w:w="30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2110" w:type="dxa"/>
        <w:jc w:val="left"/>
        <w:tblInd w:w="0" w:type="dxa"/>
        <w:tblLayout w:type="fixed"/>
        <w:tblCellMar>
          <w:top w:w="0" w:type="dxa"/>
          <w:left w:w="0" w:type="dxa"/>
          <w:bottom w:w="0" w:type="dxa"/>
          <w:right w:w="0" w:type="dxa"/>
        </w:tblCellMar>
      </w:tblPr>
      <w:tblGrid>
        <w:gridCol w:w="425"/>
        <w:gridCol w:w="1685"/>
      </w:tblGrid>
      <w:tr>
        <w:trPr/>
        <w:tc>
          <w:tcPr>
            <w:tcW w:w="42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in accordance with Item 601(a)(5) of Regulation S-K. A copy of any omitted schedule and/or exhibit will be furnished to the SEC 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27005_23"/>
      <w:bookmarkEnd w:id="1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71" w:type="dxa"/>
        <w:jc w:val="left"/>
        <w:tblInd w:w="0" w:type="dxa"/>
        <w:tblLayout w:type="fixed"/>
        <w:tblCellMar>
          <w:top w:w="0" w:type="dxa"/>
          <w:left w:w="0" w:type="dxa"/>
          <w:bottom w:w="0" w:type="dxa"/>
          <w:right w:w="0" w:type="dxa"/>
        </w:tblCellMar>
      </w:tblPr>
      <w:tblGrid>
        <w:gridCol w:w="1175"/>
        <w:gridCol w:w="60"/>
        <w:gridCol w:w="23"/>
        <w:gridCol w:w="60"/>
        <w:gridCol w:w="859"/>
        <w:gridCol w:w="140"/>
        <w:gridCol w:w="3654"/>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SOLV ENERGY, INC.</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19" w:type="dxa"/>
            <w:gridSpan w:val="2"/>
            <w:tcBorders/>
            <w:vAlign w:val="center"/>
          </w:tcPr>
          <w:p>
            <w:pPr>
              <w:pStyle w:val="TableContents"/>
              <w:bidi w:val="0"/>
              <w:spacing w:before="0" w:after="283"/>
              <w:jc w:val="left"/>
              <w:rPr>
                <w:sz w:val="4"/>
                <w:szCs w:val="4"/>
              </w:rPr>
            </w:pPr>
            <w:r>
              <w:rPr>
                <w:sz w:val="4"/>
                <w:szCs w:val="4"/>
              </w:rPr>
            </w:r>
          </w:p>
        </w:tc>
        <w:tc>
          <w:tcPr>
            <w:tcW w:w="3794" w:type="dxa"/>
            <w:gridSpan w:val="2"/>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By:</w:t>
            </w:r>
          </w:p>
        </w:tc>
        <w:tc>
          <w:tcPr>
            <w:tcW w:w="140" w:type="dxa"/>
            <w:tcBorders>
              <w:bottom w:val="single" w:sz="6" w:space="0" w:color="000000"/>
            </w:tcBorders>
            <w:tcMar>
              <w:bottom w:w="28" w:type="dxa"/>
            </w:tcMar>
            <w:vAlign w:val="center"/>
          </w:tcPr>
          <w:p>
            <w:pPr>
              <w:pStyle w:val="TableContents"/>
              <w:bidi w:val="0"/>
              <w:spacing w:before="0" w:after="283"/>
              <w:jc w:val="left"/>
              <w:rPr/>
            </w:pPr>
            <w:r>
              <w:rPr/>
              <w:t> </w:t>
            </w:r>
          </w:p>
        </w:tc>
        <w:tc>
          <w:tcPr>
            <w:tcW w:w="3654" w:type="dxa"/>
            <w:tcBorders>
              <w:bottom w:val="single" w:sz="6" w:space="0" w:color="000000"/>
            </w:tcBorders>
            <w:tcMar>
              <w:bottom w:w="28" w:type="dxa"/>
            </w:tcMar>
            <w:vAlign w:val="center"/>
          </w:tcPr>
          <w:p>
            <w:pPr>
              <w:pStyle w:val="TableContents"/>
              <w:bidi w:val="0"/>
              <w:spacing w:before="0" w:after="283"/>
              <w:jc w:val="left"/>
              <w:rPr/>
            </w:pPr>
            <w:r>
              <w:rPr/>
              <w:t>/s/ Chad Plotkin</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Chad Plotkin</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283"/>
              <w:jc w:val="left"/>
              <w:rPr/>
            </w:pPr>
            <w:r>
              <w:rPr/>
              <w:t>Title: Chief Financial Officer</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Financial Officer and Duly Authorized Officer)</w:t>
            </w:r>
          </w:p>
        </w:tc>
      </w:tr>
    </w:tbl>
    <w:p>
      <w:pPr>
        <w:pStyle w:val="TextBody"/>
        <w:bidi w:val="0"/>
        <w:spacing w:before="0" w:after="0"/>
        <w:jc w:val="right"/>
        <w:rPr>
          <w:rFonts w:ascii="Times New Roman" w:hAnsi="Times New Roman"/>
          <w:b/>
          <w:sz w:val="20"/>
        </w:rPr>
      </w:pPr>
      <w:bookmarkStart w:id="12" w:name="d27005dex311.htm"/>
      <w:bookmarkStart w:id="13" w:name="ksd27005dex311"/>
      <w:bookmarkEnd w:id="12"/>
      <w:bookmarkEnd w:id="13"/>
      <w:r>
        <w:rPr>
          <w:rFonts w:ascii="Times New Roman" w:hAnsi="Times New Roman"/>
          <w:b/>
          <w:sz w:val="20"/>
        </w:rPr>
        <w:t xml:space="preserve">Exhibit 31.1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120" w:after="0"/>
        <w:jc w:val="left"/>
        <w:rPr>
          <w:rFonts w:ascii="Times New Roman" w:hAnsi="Times New Roman"/>
          <w:sz w:val="20"/>
        </w:rPr>
      </w:pPr>
      <w:r>
        <w:rPr>
          <w:rFonts w:ascii="Times New Roman" w:hAnsi="Times New Roman"/>
          <w:sz w:val="20"/>
        </w:rPr>
        <w:t xml:space="preserve">I, George Hershman,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SOLV Energy, Inc. for the quarter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6"/>
        <w:gridCol w:w="102"/>
        <w:gridCol w:w="407"/>
        <w:gridCol w:w="102"/>
        <w:gridCol w:w="310"/>
        <w:gridCol w:w="102"/>
        <w:gridCol w:w="4596"/>
      </w:tblGrid>
      <w:tr>
        <w:trPr/>
        <w:tc>
          <w:tcPr>
            <w:tcW w:w="45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86" w:type="dxa"/>
            <w:tcBorders/>
          </w:tcPr>
          <w:p>
            <w:pPr>
              <w:pStyle w:val="TableContents"/>
              <w:bidi w:val="0"/>
              <w:spacing w:before="0" w:after="283"/>
              <w:jc w:val="left"/>
              <w:rPr/>
            </w:pPr>
            <w:r>
              <w:rPr/>
              <w:t>Date: May 12,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Name: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Title: Chief Executive Officer and Director (Principal Executive Officer)</w:t>
            </w:r>
          </w:p>
        </w:tc>
      </w:tr>
    </w:tbl>
    <w:p>
      <w:pPr>
        <w:pStyle w:val="TextBody"/>
        <w:bidi w:val="0"/>
        <w:spacing w:before="0" w:after="0"/>
        <w:jc w:val="right"/>
        <w:rPr>
          <w:rFonts w:ascii="Times New Roman" w:hAnsi="Times New Roman"/>
          <w:b/>
          <w:sz w:val="20"/>
        </w:rPr>
      </w:pPr>
      <w:bookmarkStart w:id="14" w:name="d27005dex312.htm"/>
      <w:bookmarkStart w:id="15" w:name="ksd27005dex312"/>
      <w:bookmarkEnd w:id="14"/>
      <w:bookmarkEnd w:id="15"/>
      <w:r>
        <w:rPr>
          <w:rFonts w:ascii="Times New Roman" w:hAnsi="Times New Roman"/>
          <w:b/>
          <w:sz w:val="20"/>
        </w:rPr>
        <w:t xml:space="preserve">Exhibit 31.2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120" w:after="0"/>
        <w:jc w:val="left"/>
        <w:rPr>
          <w:rFonts w:ascii="Times New Roman" w:hAnsi="Times New Roman"/>
          <w:sz w:val="20"/>
        </w:rPr>
      </w:pPr>
      <w:r>
        <w:rPr>
          <w:rFonts w:ascii="Times New Roman" w:hAnsi="Times New Roman"/>
          <w:sz w:val="20"/>
        </w:rPr>
        <w:t xml:space="preserve">I, Chad Plotkin,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SOLV Energy, Inc. for the quarter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2"/>
        <w:gridCol w:w="407"/>
        <w:gridCol w:w="102"/>
        <w:gridCol w:w="305"/>
        <w:gridCol w:w="102"/>
        <w:gridCol w:w="4594"/>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May 12, 2026</w:t>
            </w:r>
          </w:p>
        </w:tc>
        <w:tc>
          <w:tcPr>
            <w:tcW w:w="10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vAlign w:val="bottom"/>
          </w:tcPr>
          <w:p>
            <w:pPr>
              <w:pStyle w:val="TableContents"/>
              <w:bidi w:val="0"/>
              <w:spacing w:before="0" w:after="283"/>
              <w:jc w:val="left"/>
              <w:rPr/>
            </w:pPr>
            <w:r>
              <w:rPr/>
              <w:t> </w:t>
            </w:r>
          </w:p>
        </w:tc>
        <w:tc>
          <w:tcPr>
            <w:tcW w:w="4594" w:type="dxa"/>
            <w:tcBorders/>
            <w:vAlign w:val="bottom"/>
          </w:tcPr>
          <w:p>
            <w:pPr>
              <w:pStyle w:val="TableContents"/>
              <w:pBdr>
                <w:bottom w:val="single" w:sz="8"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459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Chad Plotkin</w:t>
            </w:r>
          </w:p>
        </w:tc>
      </w:tr>
      <w:tr>
        <w:trPr/>
        <w:tc>
          <w:tcPr>
            <w:tcW w:w="459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Financial Officer (Principal Financial Officer)</w:t>
            </w:r>
          </w:p>
        </w:tc>
      </w:tr>
    </w:tbl>
    <w:p>
      <w:pPr>
        <w:pStyle w:val="TextBody"/>
        <w:bidi w:val="0"/>
        <w:spacing w:before="0" w:after="0"/>
        <w:jc w:val="right"/>
        <w:rPr>
          <w:rFonts w:ascii="Times New Roman" w:hAnsi="Times New Roman"/>
          <w:b/>
          <w:sz w:val="20"/>
        </w:rPr>
      </w:pPr>
      <w:bookmarkStart w:id="16" w:name="d27005dex321.htm"/>
      <w:bookmarkStart w:id="17" w:name="ksd27005dex321"/>
      <w:bookmarkEnd w:id="16"/>
      <w:bookmarkEnd w:id="17"/>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on Form 10-Q of SOLV Energy, Inc. (the “Company”) for the quarter ended March 31, 2026, as filed with the Securities and Exchange Commission on the date hereof (the “Report”), I, George Hershman, Chief Executive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George Hershman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George Hershman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Chief Executive Officer and Director (Principal Executive Officer)</w:t>
            </w:r>
          </w:p>
        </w:tc>
      </w:tr>
    </w:tbl>
    <w:p>
      <w:pPr>
        <w:pStyle w:val="TextBody"/>
        <w:bidi w:val="0"/>
        <w:spacing w:before="0" w:after="0"/>
        <w:jc w:val="right"/>
        <w:rPr>
          <w:rFonts w:ascii="Times New Roman" w:hAnsi="Times New Roman"/>
          <w:b/>
          <w:sz w:val="20"/>
        </w:rPr>
      </w:pPr>
      <w:bookmarkStart w:id="18" w:name="d27005dex322.htm"/>
      <w:bookmarkStart w:id="19" w:name="ksd27005dex322"/>
      <w:bookmarkEnd w:id="18"/>
      <w:bookmarkEnd w:id="19"/>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on Form 10-Q of SOLV Energy, Inc. (the “Company”) for the quarter ended March 31, 2026, as filed with the Securities and Exchange Commission on the date hereof (the “Report”), I, Chad Plotkin, Chief Financial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2"/>
        <w:gridCol w:w="407"/>
        <w:gridCol w:w="102"/>
        <w:gridCol w:w="309"/>
        <w:gridCol w:w="102"/>
        <w:gridCol w:w="4595"/>
      </w:tblGrid>
      <w:tr>
        <w:trPr/>
        <w:tc>
          <w:tcPr>
            <w:tcW w:w="458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Date: May 12,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5" w:type="dxa"/>
            <w:tcBorders/>
          </w:tcPr>
          <w:p>
            <w:pPr>
              <w:pStyle w:val="TableContents"/>
              <w:pBdr>
                <w:bottom w:val="single" w:sz="8"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Name: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Title: Chief Financial Officer (Principal Financial Officer)</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65636/000119312526124117/d31834dex31.htm" TargetMode="External"/><Relationship Id="rId3" Type="http://schemas.openxmlformats.org/officeDocument/2006/relationships/hyperlink" Target="http://www.sec.gov/Archives/edgar/data/2065636/000119312526124117/d31834dex32.htm" TargetMode="External"/><Relationship Id="rId4" Type="http://schemas.openxmlformats.org/officeDocument/2006/relationships/hyperlink" Target="http://www.sec.gov/Archives/edgar/data/2065636/000119312526048814/d189834dex106.htm" TargetMode="External"/><Relationship Id="rId5" Type="http://schemas.openxmlformats.org/officeDocument/2006/relationships/hyperlink" Target="http://www.sec.gov/Archives/edgar/data/2065636/000119312526048814/d189834dex104.htm" TargetMode="External"/><Relationship Id="rId6" Type="http://schemas.openxmlformats.org/officeDocument/2006/relationships/hyperlink" Target="http://www.sec.gov/Archives/edgar/data/2065636/000119312526048814/d189834dex102.htm" TargetMode="External"/><Relationship Id="rId7" Type="http://schemas.openxmlformats.org/officeDocument/2006/relationships/hyperlink" Target="http://www.sec.gov/Archives/edgar/data/2065636/000119312526048814/d189834dex103.htm" TargetMode="External"/><Relationship Id="rId8" Type="http://schemas.openxmlformats.org/officeDocument/2006/relationships/hyperlink" Target="http://www.sec.gov/Archives/edgar/data/2065636/000119312526015169/d12408dex107.htm" TargetMode="External"/><Relationship Id="rId9" Type="http://schemas.openxmlformats.org/officeDocument/2006/relationships/hyperlink" Target="http://www.sec.gov/Archives/edgar/data/2065636/000119312526045032/d10103dex991.htm" TargetMode="External"/><Relationship Id="rId10" Type="http://schemas.openxmlformats.org/officeDocument/2006/relationships/hyperlink" Target="http://www.sec.gov/Archives/edgar/data/2065636/000119312526015169/d12408dex1015.htm" TargetMode="External"/><Relationship Id="rId11" Type="http://schemas.openxmlformats.org/officeDocument/2006/relationships/hyperlink" Target="http://www.sec.gov/Archives/edgar/data/2065636/000119312526015169/d12408dex1016.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24866</Words>
  <Characters>136449</Characters>
  <CharactersWithSpaces>164276</CharactersWithSpaces>
  <Paragraphs>6328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